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20F2" w14:textId="4D9EE8FB" w:rsidR="004761BD" w:rsidRPr="00B902F8" w:rsidRDefault="005F2EED" w:rsidP="00D4012C">
      <w:pPr>
        <w:pStyle w:val="ListParagraph"/>
        <w:numPr>
          <w:ilvl w:val="0"/>
          <w:numId w:val="1"/>
        </w:numPr>
        <w:jc w:val="both"/>
        <w:rPr>
          <w:b/>
          <w:bCs/>
          <w:sz w:val="22"/>
          <w:szCs w:val="22"/>
        </w:rPr>
      </w:pPr>
      <w:r w:rsidRPr="00B902F8">
        <w:rPr>
          <w:b/>
          <w:bCs/>
          <w:sz w:val="22"/>
          <w:szCs w:val="22"/>
        </w:rPr>
        <w:t xml:space="preserve">What is Title IX? </w:t>
      </w:r>
    </w:p>
    <w:p w14:paraId="645CB97A" w14:textId="189CC017" w:rsidR="005F2EED" w:rsidRPr="00B902F8" w:rsidRDefault="005F2EED" w:rsidP="00D4012C">
      <w:pPr>
        <w:pStyle w:val="ListParagraph"/>
        <w:numPr>
          <w:ilvl w:val="1"/>
          <w:numId w:val="1"/>
        </w:numPr>
        <w:jc w:val="both"/>
        <w:rPr>
          <w:sz w:val="22"/>
          <w:szCs w:val="22"/>
        </w:rPr>
      </w:pPr>
      <w:r w:rsidRPr="00B902F8">
        <w:rPr>
          <w:sz w:val="22"/>
          <w:szCs w:val="22"/>
        </w:rPr>
        <w:t xml:space="preserve">Title IX of the Education Amendments Act of 1972 is a civil rights law that prohibits sex discrimination in education programs for all institutions that receive federal funds. </w:t>
      </w:r>
    </w:p>
    <w:p w14:paraId="5081F2DE" w14:textId="77777777" w:rsidR="00D4012C" w:rsidRPr="00B902F8" w:rsidRDefault="00D4012C" w:rsidP="00D4012C">
      <w:pPr>
        <w:pStyle w:val="ListParagraph"/>
        <w:ind w:left="1440"/>
        <w:jc w:val="both"/>
        <w:rPr>
          <w:sz w:val="22"/>
          <w:szCs w:val="22"/>
        </w:rPr>
      </w:pPr>
    </w:p>
    <w:p w14:paraId="5D4D578E" w14:textId="5D2CF098" w:rsidR="00151AC4" w:rsidRPr="00B902F8" w:rsidRDefault="00151AC4" w:rsidP="00D4012C">
      <w:pPr>
        <w:pStyle w:val="ListParagraph"/>
        <w:numPr>
          <w:ilvl w:val="0"/>
          <w:numId w:val="1"/>
        </w:numPr>
        <w:jc w:val="both"/>
        <w:rPr>
          <w:b/>
          <w:bCs/>
          <w:sz w:val="22"/>
          <w:szCs w:val="22"/>
        </w:rPr>
      </w:pPr>
      <w:r w:rsidRPr="00B902F8">
        <w:rPr>
          <w:b/>
          <w:bCs/>
          <w:sz w:val="22"/>
          <w:szCs w:val="22"/>
        </w:rPr>
        <w:t xml:space="preserve">What forms of sex discrimination does Title IX cover? </w:t>
      </w:r>
    </w:p>
    <w:p w14:paraId="2016D03C" w14:textId="05BAAA74" w:rsidR="00151AC4" w:rsidRPr="00B902F8" w:rsidRDefault="00151AC4" w:rsidP="00D4012C">
      <w:pPr>
        <w:pStyle w:val="ListParagraph"/>
        <w:numPr>
          <w:ilvl w:val="1"/>
          <w:numId w:val="1"/>
        </w:numPr>
        <w:jc w:val="both"/>
        <w:rPr>
          <w:sz w:val="22"/>
          <w:szCs w:val="22"/>
        </w:rPr>
      </w:pPr>
      <w:r w:rsidRPr="00B902F8">
        <w:rPr>
          <w:sz w:val="22"/>
          <w:szCs w:val="22"/>
        </w:rPr>
        <w:t xml:space="preserve">Title IX covers all forms of sex discrimination, including, pregnancy and pregnancy related concerns, sex and gender-based discrimination, sexual harassment including quid pro quo sexual harassment, sexual assault, forms of intimate partner violence such as, dating and domestic violence and sexually based stalking. </w:t>
      </w:r>
    </w:p>
    <w:p w14:paraId="11BEA9B2" w14:textId="244F178D" w:rsidR="00151AC4" w:rsidRPr="00B902F8" w:rsidRDefault="00151AC4" w:rsidP="00D4012C">
      <w:pPr>
        <w:pStyle w:val="ListParagraph"/>
        <w:numPr>
          <w:ilvl w:val="1"/>
          <w:numId w:val="1"/>
        </w:numPr>
        <w:jc w:val="both"/>
        <w:rPr>
          <w:sz w:val="22"/>
          <w:szCs w:val="22"/>
        </w:rPr>
      </w:pPr>
      <w:r w:rsidRPr="00B902F8">
        <w:rPr>
          <w:sz w:val="22"/>
          <w:szCs w:val="22"/>
        </w:rPr>
        <w:t xml:space="preserve">For a potential title ix violation to occur, an incident of sex discrimination must occur in an educational program or educational sanctioned event, occur on campus or be an employee or student enrolled in an educational program at the time of the incident. The incident must also be </w:t>
      </w:r>
      <w:r w:rsidRPr="00B902F8">
        <w:rPr>
          <w:sz w:val="22"/>
          <w:szCs w:val="22"/>
        </w:rPr>
        <w:t xml:space="preserve">unwelcome conduct on the basis of sex that is so severe, pervasive, and objectively offensive that it denies a person access to the recipient’s education program or activity. </w:t>
      </w:r>
    </w:p>
    <w:p w14:paraId="09473B17" w14:textId="77777777" w:rsidR="00D4012C" w:rsidRPr="00B902F8" w:rsidRDefault="00D4012C" w:rsidP="00D4012C">
      <w:pPr>
        <w:pStyle w:val="ListParagraph"/>
        <w:ind w:left="1440"/>
        <w:jc w:val="both"/>
        <w:rPr>
          <w:sz w:val="22"/>
          <w:szCs w:val="22"/>
        </w:rPr>
      </w:pPr>
    </w:p>
    <w:p w14:paraId="3B7B7BB1" w14:textId="48EA3507" w:rsidR="00151AC4" w:rsidRPr="00B902F8" w:rsidRDefault="00151AC4" w:rsidP="00D4012C">
      <w:pPr>
        <w:pStyle w:val="ListParagraph"/>
        <w:numPr>
          <w:ilvl w:val="0"/>
          <w:numId w:val="1"/>
        </w:numPr>
        <w:jc w:val="both"/>
        <w:rPr>
          <w:b/>
          <w:bCs/>
          <w:sz w:val="22"/>
          <w:szCs w:val="22"/>
        </w:rPr>
      </w:pPr>
      <w:r w:rsidRPr="00B902F8">
        <w:rPr>
          <w:b/>
          <w:bCs/>
          <w:sz w:val="22"/>
          <w:szCs w:val="22"/>
        </w:rPr>
        <w:t xml:space="preserve">What are Supportive Measures? </w:t>
      </w:r>
    </w:p>
    <w:p w14:paraId="5C013504" w14:textId="68392639" w:rsidR="00151AC4" w:rsidRPr="00B902F8" w:rsidRDefault="00151AC4" w:rsidP="00D4012C">
      <w:pPr>
        <w:pStyle w:val="ListParagraph"/>
        <w:numPr>
          <w:ilvl w:val="1"/>
          <w:numId w:val="1"/>
        </w:numPr>
        <w:jc w:val="both"/>
        <w:rPr>
          <w:sz w:val="22"/>
          <w:szCs w:val="22"/>
        </w:rPr>
      </w:pPr>
      <w:r w:rsidRPr="00B902F8">
        <w:rPr>
          <w:sz w:val="22"/>
          <w:szCs w:val="22"/>
        </w:rPr>
        <w:t xml:space="preserve">Supportive Measures are </w:t>
      </w:r>
      <w:r w:rsidRPr="00B902F8">
        <w:rPr>
          <w:sz w:val="22"/>
          <w:szCs w:val="22"/>
        </w:rPr>
        <w:t>non-disciplinary, non-punitive individualized services</w:t>
      </w:r>
      <w:r w:rsidRPr="00B902F8">
        <w:rPr>
          <w:sz w:val="22"/>
          <w:szCs w:val="22"/>
        </w:rPr>
        <w:t xml:space="preserve"> </w:t>
      </w:r>
      <w:r w:rsidRPr="00B902F8">
        <w:rPr>
          <w:sz w:val="22"/>
          <w:szCs w:val="22"/>
        </w:rPr>
        <w:t>that are available to both parties and that are designed to support continued</w:t>
      </w:r>
      <w:r w:rsidRPr="00B902F8">
        <w:rPr>
          <w:b/>
          <w:bCs/>
          <w:sz w:val="22"/>
          <w:szCs w:val="22"/>
        </w:rPr>
        <w:t xml:space="preserve"> </w:t>
      </w:r>
      <w:r w:rsidRPr="00B902F8">
        <w:rPr>
          <w:sz w:val="22"/>
          <w:szCs w:val="22"/>
        </w:rPr>
        <w:t>access to an education program or activity without unreasonably burdening the other party.</w:t>
      </w:r>
    </w:p>
    <w:p w14:paraId="737C44AD" w14:textId="0CB2A40C" w:rsidR="00151AC4" w:rsidRPr="00B902F8" w:rsidRDefault="00151AC4" w:rsidP="00D4012C">
      <w:pPr>
        <w:pStyle w:val="ListParagraph"/>
        <w:numPr>
          <w:ilvl w:val="1"/>
          <w:numId w:val="1"/>
        </w:numPr>
        <w:jc w:val="both"/>
        <w:rPr>
          <w:sz w:val="22"/>
          <w:szCs w:val="22"/>
        </w:rPr>
      </w:pPr>
      <w:r w:rsidRPr="00B902F8">
        <w:rPr>
          <w:sz w:val="22"/>
          <w:szCs w:val="22"/>
        </w:rPr>
        <w:t xml:space="preserve">Examples of supportive measures include, no-contact directives, class accommodations, on-campus residential assignment changes and more. </w:t>
      </w:r>
    </w:p>
    <w:p w14:paraId="3C4C06CC" w14:textId="77777777" w:rsidR="00D4012C" w:rsidRPr="00B902F8" w:rsidRDefault="00D4012C" w:rsidP="00D4012C">
      <w:pPr>
        <w:pStyle w:val="ListParagraph"/>
        <w:ind w:left="1440"/>
        <w:jc w:val="both"/>
        <w:rPr>
          <w:sz w:val="22"/>
          <w:szCs w:val="22"/>
        </w:rPr>
      </w:pPr>
    </w:p>
    <w:p w14:paraId="75DF12C3" w14:textId="02662799" w:rsidR="00151AC4" w:rsidRPr="00B902F8" w:rsidRDefault="00151AC4" w:rsidP="00D4012C">
      <w:pPr>
        <w:pStyle w:val="ListParagraph"/>
        <w:numPr>
          <w:ilvl w:val="0"/>
          <w:numId w:val="1"/>
        </w:numPr>
        <w:jc w:val="both"/>
        <w:rPr>
          <w:b/>
          <w:bCs/>
          <w:sz w:val="22"/>
          <w:szCs w:val="22"/>
        </w:rPr>
      </w:pPr>
      <w:r w:rsidRPr="00B902F8">
        <w:rPr>
          <w:b/>
          <w:bCs/>
          <w:sz w:val="22"/>
          <w:szCs w:val="22"/>
        </w:rPr>
        <w:t>What are my rights if I am the “Complainant” or “Respondent” in the Title IX process?</w:t>
      </w:r>
    </w:p>
    <w:p w14:paraId="2409D460" w14:textId="5694EBC5" w:rsidR="00151AC4" w:rsidRPr="00B902F8" w:rsidRDefault="00151AC4" w:rsidP="00D4012C">
      <w:pPr>
        <w:pStyle w:val="ListParagraph"/>
        <w:numPr>
          <w:ilvl w:val="1"/>
          <w:numId w:val="1"/>
        </w:numPr>
        <w:jc w:val="both"/>
        <w:rPr>
          <w:sz w:val="22"/>
          <w:szCs w:val="22"/>
        </w:rPr>
      </w:pPr>
      <w:r w:rsidRPr="00B902F8">
        <w:rPr>
          <w:sz w:val="22"/>
          <w:szCs w:val="22"/>
        </w:rPr>
        <w:t xml:space="preserve">Title IX ensures equity for all involved parties in the Title IX process. </w:t>
      </w:r>
    </w:p>
    <w:p w14:paraId="2A25C90C" w14:textId="3E749DC1" w:rsidR="00151AC4" w:rsidRPr="00B902F8" w:rsidRDefault="00151AC4" w:rsidP="00D4012C">
      <w:pPr>
        <w:pStyle w:val="ListParagraph"/>
        <w:numPr>
          <w:ilvl w:val="1"/>
          <w:numId w:val="1"/>
        </w:numPr>
        <w:jc w:val="both"/>
        <w:rPr>
          <w:sz w:val="22"/>
          <w:szCs w:val="22"/>
        </w:rPr>
      </w:pPr>
      <w:r w:rsidRPr="00B902F8">
        <w:rPr>
          <w:sz w:val="22"/>
          <w:szCs w:val="22"/>
        </w:rPr>
        <w:t xml:space="preserve">A complainant is referred to as </w:t>
      </w:r>
      <w:r w:rsidR="004B05E3" w:rsidRPr="00B902F8">
        <w:rPr>
          <w:sz w:val="22"/>
          <w:szCs w:val="22"/>
        </w:rPr>
        <w:t>an individual who is alleged to be the victim of conduct that could constitute sexual harassment.</w:t>
      </w:r>
    </w:p>
    <w:p w14:paraId="077A6D28" w14:textId="31FDBB98" w:rsidR="004B05E3" w:rsidRPr="00B902F8" w:rsidRDefault="004B05E3" w:rsidP="00D4012C">
      <w:pPr>
        <w:pStyle w:val="ListParagraph"/>
        <w:numPr>
          <w:ilvl w:val="1"/>
          <w:numId w:val="1"/>
        </w:numPr>
        <w:jc w:val="both"/>
        <w:rPr>
          <w:sz w:val="22"/>
          <w:szCs w:val="22"/>
        </w:rPr>
      </w:pPr>
      <w:r w:rsidRPr="00B902F8">
        <w:rPr>
          <w:sz w:val="22"/>
          <w:szCs w:val="22"/>
        </w:rPr>
        <w:t xml:space="preserve">A respondent is referred to as </w:t>
      </w:r>
      <w:r w:rsidRPr="00B902F8">
        <w:rPr>
          <w:sz w:val="22"/>
          <w:szCs w:val="22"/>
        </w:rPr>
        <w:t>an individual who has been reported to be the perpetrator of conduct that could constitute sexual harassment.</w:t>
      </w:r>
    </w:p>
    <w:p w14:paraId="1AD4D5A0" w14:textId="150579ED" w:rsidR="004B05E3" w:rsidRPr="00B902F8" w:rsidRDefault="004B05E3" w:rsidP="00D4012C">
      <w:pPr>
        <w:pStyle w:val="ListParagraph"/>
        <w:numPr>
          <w:ilvl w:val="1"/>
          <w:numId w:val="1"/>
        </w:numPr>
        <w:jc w:val="both"/>
        <w:rPr>
          <w:sz w:val="22"/>
          <w:szCs w:val="22"/>
        </w:rPr>
      </w:pPr>
      <w:r w:rsidRPr="00B902F8">
        <w:rPr>
          <w:sz w:val="22"/>
          <w:szCs w:val="22"/>
        </w:rPr>
        <w:t xml:space="preserve">All involved parties have the right to have an advisor of their choice during all meetings and interactions throughout the process. If a student does not have an advisor, the school must provide an advisor for them. Advisors should be aware of the process, but does not have a speaking/active role aside from serving as the liaison during the live hearing portion of the process. </w:t>
      </w:r>
    </w:p>
    <w:p w14:paraId="0E234694" w14:textId="74FDF7B7" w:rsidR="004B05E3" w:rsidRPr="00B902F8" w:rsidRDefault="004B05E3" w:rsidP="00D4012C">
      <w:pPr>
        <w:pStyle w:val="ListParagraph"/>
        <w:numPr>
          <w:ilvl w:val="1"/>
          <w:numId w:val="1"/>
        </w:numPr>
        <w:jc w:val="both"/>
        <w:rPr>
          <w:sz w:val="22"/>
          <w:szCs w:val="22"/>
        </w:rPr>
      </w:pPr>
      <w:r w:rsidRPr="00B902F8">
        <w:rPr>
          <w:sz w:val="22"/>
          <w:szCs w:val="22"/>
        </w:rPr>
        <w:t xml:space="preserve">All involved parties have the right to review the investigative report and provide feedback within 10 days of receiving the report, and will have 10 additional days to review and respond if there are any edits or changes in the report. </w:t>
      </w:r>
    </w:p>
    <w:p w14:paraId="4E150D28" w14:textId="3F570639" w:rsidR="004B05E3" w:rsidRPr="00B902F8" w:rsidRDefault="004B05E3" w:rsidP="00D4012C">
      <w:pPr>
        <w:pStyle w:val="ListParagraph"/>
        <w:numPr>
          <w:ilvl w:val="1"/>
          <w:numId w:val="1"/>
        </w:numPr>
        <w:jc w:val="both"/>
        <w:rPr>
          <w:sz w:val="22"/>
          <w:szCs w:val="22"/>
        </w:rPr>
      </w:pPr>
      <w:r w:rsidRPr="00B902F8">
        <w:rPr>
          <w:sz w:val="22"/>
          <w:szCs w:val="22"/>
        </w:rPr>
        <w:t xml:space="preserve">All involved parties have the right to review evidence </w:t>
      </w:r>
    </w:p>
    <w:p w14:paraId="08969A91" w14:textId="400CB8CD" w:rsidR="004B05E3" w:rsidRPr="00B902F8" w:rsidRDefault="004B05E3" w:rsidP="00D4012C">
      <w:pPr>
        <w:pStyle w:val="ListParagraph"/>
        <w:numPr>
          <w:ilvl w:val="1"/>
          <w:numId w:val="1"/>
        </w:numPr>
        <w:jc w:val="both"/>
        <w:rPr>
          <w:sz w:val="22"/>
          <w:szCs w:val="22"/>
        </w:rPr>
      </w:pPr>
      <w:r w:rsidRPr="00B902F8">
        <w:rPr>
          <w:sz w:val="22"/>
          <w:szCs w:val="22"/>
        </w:rPr>
        <w:lastRenderedPageBreak/>
        <w:t>All involved parties have the right to refuse an advisor provided for them and may choose to not have an advisor</w:t>
      </w:r>
      <w:r w:rsidR="00EB7A6F" w:rsidRPr="00B902F8">
        <w:rPr>
          <w:sz w:val="22"/>
          <w:szCs w:val="22"/>
        </w:rPr>
        <w:t xml:space="preserve">. </w:t>
      </w:r>
    </w:p>
    <w:p w14:paraId="27685CE1" w14:textId="23AC4598" w:rsidR="004B05E3" w:rsidRPr="00B902F8" w:rsidRDefault="004B05E3" w:rsidP="00D4012C">
      <w:pPr>
        <w:pStyle w:val="ListParagraph"/>
        <w:numPr>
          <w:ilvl w:val="1"/>
          <w:numId w:val="1"/>
        </w:numPr>
        <w:jc w:val="both"/>
        <w:rPr>
          <w:sz w:val="22"/>
          <w:szCs w:val="22"/>
        </w:rPr>
      </w:pPr>
      <w:r w:rsidRPr="00B902F8">
        <w:rPr>
          <w:sz w:val="22"/>
          <w:szCs w:val="22"/>
        </w:rPr>
        <w:t xml:space="preserve">All involved parties have a right not to participate in the formal process, but this does not preclude the institution from taking action, in the form of investigating and instituting remedies and/or sanctions as appropriate. </w:t>
      </w:r>
    </w:p>
    <w:p w14:paraId="6C2C69B7" w14:textId="7B987C1D" w:rsidR="004B05E3" w:rsidRPr="00B902F8" w:rsidRDefault="004B05E3" w:rsidP="00D4012C">
      <w:pPr>
        <w:pStyle w:val="ListParagraph"/>
        <w:numPr>
          <w:ilvl w:val="1"/>
          <w:numId w:val="1"/>
        </w:numPr>
        <w:jc w:val="both"/>
        <w:rPr>
          <w:sz w:val="22"/>
          <w:szCs w:val="22"/>
        </w:rPr>
      </w:pPr>
      <w:r w:rsidRPr="00B902F8">
        <w:rPr>
          <w:sz w:val="22"/>
          <w:szCs w:val="22"/>
        </w:rPr>
        <w:t xml:space="preserve">Involved parties have a right to appeal </w:t>
      </w:r>
      <w:r w:rsidRPr="00B902F8">
        <w:rPr>
          <w:sz w:val="22"/>
          <w:szCs w:val="22"/>
        </w:rPr>
        <w:t xml:space="preserve">on the basis of procedural irregularities, new evidence, or any bias or conflict of interest on the part of the </w:t>
      </w:r>
      <w:r w:rsidRPr="00B902F8">
        <w:rPr>
          <w:sz w:val="22"/>
          <w:szCs w:val="22"/>
        </w:rPr>
        <w:t>Title IX Coordinator, I</w:t>
      </w:r>
      <w:r w:rsidRPr="00B902F8">
        <w:rPr>
          <w:sz w:val="22"/>
          <w:szCs w:val="22"/>
        </w:rPr>
        <w:t>nvestigator, or decision maker</w:t>
      </w:r>
      <w:r w:rsidRPr="00B902F8">
        <w:rPr>
          <w:sz w:val="22"/>
          <w:szCs w:val="22"/>
        </w:rPr>
        <w:t>(s).</w:t>
      </w:r>
    </w:p>
    <w:p w14:paraId="33546A95" w14:textId="77777777" w:rsidR="00CE4CB3" w:rsidRPr="00B902F8" w:rsidRDefault="004B05E3" w:rsidP="00D4012C">
      <w:pPr>
        <w:pStyle w:val="ListParagraph"/>
        <w:numPr>
          <w:ilvl w:val="1"/>
          <w:numId w:val="1"/>
        </w:numPr>
        <w:jc w:val="both"/>
        <w:rPr>
          <w:sz w:val="22"/>
          <w:szCs w:val="22"/>
        </w:rPr>
      </w:pPr>
      <w:r w:rsidRPr="00B902F8">
        <w:rPr>
          <w:sz w:val="22"/>
          <w:szCs w:val="22"/>
        </w:rPr>
        <w:t xml:space="preserve">Involved parties have the right to not be subjected to any retaliatory measures </w:t>
      </w:r>
    </w:p>
    <w:p w14:paraId="627F1C88" w14:textId="6BF1B908" w:rsidR="00CE4CB3" w:rsidRPr="00B902F8" w:rsidRDefault="00CE4CB3" w:rsidP="00D4012C">
      <w:pPr>
        <w:pStyle w:val="ListParagraph"/>
        <w:numPr>
          <w:ilvl w:val="1"/>
          <w:numId w:val="1"/>
        </w:numPr>
        <w:jc w:val="both"/>
        <w:rPr>
          <w:sz w:val="22"/>
          <w:szCs w:val="22"/>
        </w:rPr>
      </w:pPr>
      <w:r w:rsidRPr="00B902F8">
        <w:rPr>
          <w:sz w:val="22"/>
          <w:szCs w:val="22"/>
        </w:rPr>
        <w:t xml:space="preserve">Preclude the use of questions that would violate a legally recognized privilege unless waived, such as medical information.   </w:t>
      </w:r>
    </w:p>
    <w:p w14:paraId="170B1B15" w14:textId="7232C167" w:rsidR="00CE4CB3" w:rsidRPr="00B902F8" w:rsidRDefault="00CE4CB3" w:rsidP="00D4012C">
      <w:pPr>
        <w:pStyle w:val="ListParagraph"/>
        <w:numPr>
          <w:ilvl w:val="1"/>
          <w:numId w:val="1"/>
        </w:numPr>
        <w:jc w:val="both"/>
        <w:rPr>
          <w:sz w:val="22"/>
          <w:szCs w:val="22"/>
        </w:rPr>
      </w:pPr>
      <w:r w:rsidRPr="00B902F8">
        <w:rPr>
          <w:sz w:val="22"/>
          <w:szCs w:val="22"/>
        </w:rPr>
        <w:t xml:space="preserve">Involved parties have a right to informal resolutions, if both parties agree in writing. This does not apply when the respondent is an employee and the complainant is a student. </w:t>
      </w:r>
    </w:p>
    <w:p w14:paraId="4E1A2215" w14:textId="29CFB3B7" w:rsidR="00EB7A6F" w:rsidRPr="00B902F8" w:rsidRDefault="00CE4CB3" w:rsidP="00D4012C">
      <w:pPr>
        <w:pStyle w:val="ListParagraph"/>
        <w:numPr>
          <w:ilvl w:val="1"/>
          <w:numId w:val="1"/>
        </w:numPr>
        <w:jc w:val="both"/>
        <w:rPr>
          <w:sz w:val="22"/>
          <w:szCs w:val="22"/>
        </w:rPr>
      </w:pPr>
      <w:r w:rsidRPr="00B902F8">
        <w:rPr>
          <w:sz w:val="22"/>
          <w:szCs w:val="22"/>
        </w:rPr>
        <w:t>You have the right to be respected by college officials throughout the process</w:t>
      </w:r>
      <w:r w:rsidR="00EB7A6F" w:rsidRPr="00B902F8">
        <w:rPr>
          <w:sz w:val="22"/>
          <w:szCs w:val="22"/>
        </w:rPr>
        <w:t>.</w:t>
      </w:r>
    </w:p>
    <w:p w14:paraId="202E3F4F" w14:textId="77777777" w:rsidR="00EB7A6F" w:rsidRPr="00B902F8" w:rsidRDefault="00EB7A6F" w:rsidP="00EB7A6F">
      <w:pPr>
        <w:pStyle w:val="ListParagraph"/>
        <w:ind w:left="1440"/>
        <w:jc w:val="both"/>
        <w:rPr>
          <w:sz w:val="22"/>
          <w:szCs w:val="22"/>
        </w:rPr>
      </w:pPr>
    </w:p>
    <w:p w14:paraId="1D7F3DD6" w14:textId="77777777" w:rsidR="00EB7A6F" w:rsidRPr="00B902F8" w:rsidRDefault="00EB7A6F" w:rsidP="00EB7A6F">
      <w:pPr>
        <w:pStyle w:val="ListParagraph"/>
        <w:numPr>
          <w:ilvl w:val="0"/>
          <w:numId w:val="1"/>
        </w:numPr>
        <w:jc w:val="both"/>
        <w:rPr>
          <w:b/>
          <w:bCs/>
          <w:sz w:val="22"/>
          <w:szCs w:val="22"/>
        </w:rPr>
      </w:pPr>
      <w:r w:rsidRPr="00B902F8">
        <w:rPr>
          <w:b/>
          <w:bCs/>
          <w:sz w:val="22"/>
          <w:szCs w:val="22"/>
        </w:rPr>
        <w:t xml:space="preserve">How do I file a formal complaint with my school? </w:t>
      </w:r>
    </w:p>
    <w:p w14:paraId="7C527069" w14:textId="77777777" w:rsidR="00EB7A6F" w:rsidRPr="00B902F8" w:rsidRDefault="00EB7A6F" w:rsidP="00EB7A6F">
      <w:pPr>
        <w:pStyle w:val="ListParagraph"/>
        <w:numPr>
          <w:ilvl w:val="1"/>
          <w:numId w:val="1"/>
        </w:numPr>
        <w:jc w:val="both"/>
        <w:rPr>
          <w:sz w:val="22"/>
          <w:szCs w:val="22"/>
        </w:rPr>
      </w:pPr>
      <w:r w:rsidRPr="00B902F8">
        <w:rPr>
          <w:sz w:val="22"/>
          <w:szCs w:val="22"/>
        </w:rPr>
        <w:t xml:space="preserve">Contact Antioch College’s Title IX Coordinator by visiting the SOPP and Title IX webpage at: </w:t>
      </w:r>
      <w:r w:rsidR="00CE4CB3" w:rsidRPr="00B902F8">
        <w:rPr>
          <w:sz w:val="22"/>
          <w:szCs w:val="22"/>
        </w:rPr>
        <w:t xml:space="preserve"> </w:t>
      </w:r>
      <w:hyperlink r:id="rId7" w:history="1">
        <w:r w:rsidRPr="00B902F8">
          <w:rPr>
            <w:rStyle w:val="Hyperlink"/>
            <w:sz w:val="22"/>
            <w:szCs w:val="22"/>
          </w:rPr>
          <w:t>https://antiochcollege.edu/campus-life/sexual-offense-prevention-policy-title-ix/</w:t>
        </w:r>
      </w:hyperlink>
    </w:p>
    <w:p w14:paraId="20328428" w14:textId="3DA97A90" w:rsidR="00CE4CB3" w:rsidRPr="00B902F8" w:rsidRDefault="00EB7A6F" w:rsidP="00EB7A6F">
      <w:pPr>
        <w:pStyle w:val="ListParagraph"/>
        <w:numPr>
          <w:ilvl w:val="1"/>
          <w:numId w:val="1"/>
        </w:numPr>
        <w:jc w:val="both"/>
        <w:rPr>
          <w:sz w:val="22"/>
          <w:szCs w:val="22"/>
        </w:rPr>
      </w:pPr>
      <w:r w:rsidRPr="00B902F8">
        <w:rPr>
          <w:sz w:val="22"/>
          <w:szCs w:val="22"/>
        </w:rPr>
        <w:t xml:space="preserve">You can also email all complaints and request additional information to: </w:t>
      </w:r>
      <w:hyperlink r:id="rId8" w:tgtFrame="_blank" w:history="1">
        <w:r w:rsidRPr="00B902F8">
          <w:rPr>
            <w:rStyle w:val="Hyperlink"/>
            <w:sz w:val="22"/>
            <w:szCs w:val="22"/>
          </w:rPr>
          <w:t>titleix@antiochcollege.edu</w:t>
        </w:r>
      </w:hyperlink>
      <w:r w:rsidRPr="00B902F8">
        <w:rPr>
          <w:sz w:val="22"/>
          <w:szCs w:val="22"/>
        </w:rPr>
        <w:t> </w:t>
      </w:r>
    </w:p>
    <w:p w14:paraId="5F0324EC" w14:textId="77777777" w:rsidR="00D4012C" w:rsidRPr="00B902F8" w:rsidRDefault="00D4012C" w:rsidP="00D4012C">
      <w:pPr>
        <w:pStyle w:val="ListParagraph"/>
        <w:ind w:left="1440"/>
        <w:jc w:val="both"/>
        <w:rPr>
          <w:sz w:val="22"/>
          <w:szCs w:val="22"/>
        </w:rPr>
      </w:pPr>
    </w:p>
    <w:p w14:paraId="69E3795F" w14:textId="5701BF4C" w:rsidR="00D4012C" w:rsidRPr="00B902F8" w:rsidRDefault="00D4012C" w:rsidP="00D4012C">
      <w:pPr>
        <w:pStyle w:val="ListParagraph"/>
        <w:numPr>
          <w:ilvl w:val="0"/>
          <w:numId w:val="1"/>
        </w:numPr>
        <w:jc w:val="both"/>
        <w:rPr>
          <w:b/>
          <w:bCs/>
          <w:sz w:val="22"/>
          <w:szCs w:val="22"/>
        </w:rPr>
      </w:pPr>
      <w:r w:rsidRPr="00B902F8">
        <w:rPr>
          <w:b/>
          <w:bCs/>
          <w:sz w:val="22"/>
          <w:szCs w:val="22"/>
        </w:rPr>
        <w:t xml:space="preserve">What if my Title IX complaint was mishandled? </w:t>
      </w:r>
    </w:p>
    <w:p w14:paraId="7914ADEF" w14:textId="260AE26B" w:rsidR="00D4012C" w:rsidRPr="00B902F8" w:rsidRDefault="00D4012C" w:rsidP="00D4012C">
      <w:pPr>
        <w:pStyle w:val="ListParagraph"/>
        <w:numPr>
          <w:ilvl w:val="1"/>
          <w:numId w:val="1"/>
        </w:numPr>
        <w:jc w:val="both"/>
        <w:rPr>
          <w:b/>
          <w:bCs/>
          <w:sz w:val="22"/>
          <w:szCs w:val="22"/>
        </w:rPr>
      </w:pPr>
      <w:r w:rsidRPr="00B902F8">
        <w:rPr>
          <w:sz w:val="22"/>
          <w:szCs w:val="22"/>
        </w:rPr>
        <w:t xml:space="preserve">For anyone involved in a Title IX resolution proceeding that believes their case was mishandled by their institution, they have a right to make a formal complaint with the U.S. Department of Education’s Office </w:t>
      </w:r>
      <w:r w:rsidR="00EB7A6F" w:rsidRPr="00B902F8">
        <w:rPr>
          <w:sz w:val="22"/>
          <w:szCs w:val="22"/>
        </w:rPr>
        <w:t>o</w:t>
      </w:r>
      <w:r w:rsidRPr="00B902F8">
        <w:rPr>
          <w:sz w:val="22"/>
          <w:szCs w:val="22"/>
        </w:rPr>
        <w:t>f Civil Rights.</w:t>
      </w:r>
    </w:p>
    <w:p w14:paraId="6571EA2C" w14:textId="6E28395B" w:rsidR="00D4012C" w:rsidRPr="00B902F8" w:rsidRDefault="00D4012C" w:rsidP="00D4012C">
      <w:pPr>
        <w:pStyle w:val="ListParagraph"/>
        <w:numPr>
          <w:ilvl w:val="1"/>
          <w:numId w:val="1"/>
        </w:numPr>
        <w:rPr>
          <w:b/>
          <w:bCs/>
          <w:sz w:val="22"/>
          <w:szCs w:val="22"/>
        </w:rPr>
      </w:pPr>
      <w:r w:rsidRPr="00B902F8">
        <w:rPr>
          <w:sz w:val="22"/>
          <w:szCs w:val="22"/>
        </w:rPr>
        <w:t>You can file an online complaint by visiting:</w:t>
      </w:r>
      <w:r w:rsidRPr="00B902F8">
        <w:rPr>
          <w:sz w:val="22"/>
          <w:szCs w:val="22"/>
        </w:rPr>
        <w:t xml:space="preserve"> </w:t>
      </w:r>
      <w:hyperlink r:id="rId9" w:history="1">
        <w:r w:rsidRPr="00B902F8">
          <w:rPr>
            <w:rStyle w:val="Hyperlink"/>
            <w:sz w:val="22"/>
            <w:szCs w:val="22"/>
          </w:rPr>
          <w:t>https://www2.ed.gov/about/offices/list/ocr/complaintintro.html</w:t>
        </w:r>
      </w:hyperlink>
      <w:r w:rsidRPr="00B902F8">
        <w:rPr>
          <w:color w:val="000000" w:themeColor="text1"/>
          <w:sz w:val="22"/>
          <w:szCs w:val="22"/>
        </w:rPr>
        <w:t xml:space="preserve"> </w:t>
      </w:r>
    </w:p>
    <w:p w14:paraId="182D5A5D" w14:textId="4C0DFEE0" w:rsidR="00D4012C" w:rsidRPr="00B902F8" w:rsidRDefault="00D4012C" w:rsidP="00D4012C">
      <w:pPr>
        <w:pStyle w:val="ListParagraph"/>
        <w:numPr>
          <w:ilvl w:val="1"/>
          <w:numId w:val="1"/>
        </w:numPr>
        <w:rPr>
          <w:b/>
          <w:bCs/>
          <w:sz w:val="22"/>
          <w:szCs w:val="22"/>
        </w:rPr>
      </w:pPr>
      <w:r w:rsidRPr="00B902F8">
        <w:rPr>
          <w:color w:val="000000" w:themeColor="text1"/>
          <w:sz w:val="22"/>
          <w:szCs w:val="22"/>
        </w:rPr>
        <w:t xml:space="preserve">Or you can email </w:t>
      </w:r>
      <w:r w:rsidRPr="00B902F8">
        <w:rPr>
          <w:color w:val="000000" w:themeColor="text1"/>
          <w:sz w:val="22"/>
          <w:szCs w:val="22"/>
        </w:rPr>
        <w:t>or</w:t>
      </w:r>
      <w:r w:rsidRPr="00B902F8">
        <w:rPr>
          <w:color w:val="000000" w:themeColor="text1"/>
          <w:sz w:val="22"/>
          <w:szCs w:val="22"/>
        </w:rPr>
        <w:t xml:space="preserve"> </w:t>
      </w:r>
      <w:r w:rsidRPr="00B902F8">
        <w:rPr>
          <w:color w:val="000000" w:themeColor="text1"/>
          <w:sz w:val="22"/>
          <w:szCs w:val="22"/>
        </w:rPr>
        <w:t xml:space="preserve">write </w:t>
      </w:r>
      <w:r w:rsidRPr="00B902F8">
        <w:rPr>
          <w:color w:val="000000" w:themeColor="text1"/>
          <w:sz w:val="22"/>
          <w:szCs w:val="22"/>
        </w:rPr>
        <w:t xml:space="preserve">the complaint to: </w:t>
      </w:r>
      <w:hyperlink r:id="rId10" w:history="1">
        <w:r w:rsidRPr="00D4012C">
          <w:rPr>
            <w:rStyle w:val="Hyperlink"/>
            <w:sz w:val="22"/>
            <w:szCs w:val="22"/>
          </w:rPr>
          <w:t>OCR.Cleveland@ed.gov</w:t>
        </w:r>
      </w:hyperlink>
      <w:r w:rsidRPr="00B902F8">
        <w:rPr>
          <w:color w:val="000000" w:themeColor="text1"/>
          <w:sz w:val="22"/>
          <w:szCs w:val="22"/>
        </w:rPr>
        <w:t xml:space="preserve"> or </w:t>
      </w:r>
      <w:r w:rsidR="00B902F8">
        <w:rPr>
          <w:color w:val="000000" w:themeColor="text1"/>
          <w:sz w:val="22"/>
          <w:szCs w:val="22"/>
        </w:rPr>
        <w:t>mail to</w:t>
      </w:r>
    </w:p>
    <w:p w14:paraId="27E8D55E" w14:textId="62067ABF" w:rsidR="00D4012C" w:rsidRPr="00B902F8" w:rsidRDefault="00D4012C" w:rsidP="00D4012C">
      <w:pPr>
        <w:pStyle w:val="ListParagraph"/>
        <w:numPr>
          <w:ilvl w:val="1"/>
          <w:numId w:val="1"/>
        </w:numPr>
        <w:rPr>
          <w:b/>
          <w:bCs/>
          <w:sz w:val="22"/>
          <w:szCs w:val="22"/>
        </w:rPr>
      </w:pPr>
      <w:r w:rsidRPr="00B902F8">
        <w:rPr>
          <w:color w:val="030A13"/>
          <w:sz w:val="22"/>
          <w:szCs w:val="22"/>
          <w:shd w:val="clear" w:color="auto" w:fill="FFFFFF"/>
        </w:rPr>
        <w:t>Office for Civil Rights,</w:t>
      </w:r>
      <w:r w:rsidRPr="00B902F8">
        <w:rPr>
          <w:color w:val="030A13"/>
          <w:sz w:val="22"/>
          <w:szCs w:val="22"/>
        </w:rPr>
        <w:t xml:space="preserve"> </w:t>
      </w:r>
      <w:r w:rsidRPr="00B902F8">
        <w:rPr>
          <w:rStyle w:val="Emphasis"/>
          <w:i w:val="0"/>
          <w:iCs w:val="0"/>
          <w:color w:val="030A13"/>
          <w:sz w:val="22"/>
          <w:szCs w:val="22"/>
          <w:shd w:val="clear" w:color="auto" w:fill="FFFFFF"/>
        </w:rPr>
        <w:t>Cleveland Office</w:t>
      </w:r>
      <w:r w:rsidRPr="00B902F8">
        <w:rPr>
          <w:color w:val="030A13"/>
          <w:sz w:val="22"/>
          <w:szCs w:val="22"/>
        </w:rPr>
        <w:t xml:space="preserve">, </w:t>
      </w:r>
      <w:r w:rsidRPr="00B902F8">
        <w:rPr>
          <w:color w:val="030A13"/>
          <w:sz w:val="22"/>
          <w:szCs w:val="22"/>
          <w:shd w:val="clear" w:color="auto" w:fill="FFFFFF"/>
        </w:rPr>
        <w:t>U.S. Department of Education</w:t>
      </w:r>
      <w:r w:rsidRPr="00B902F8">
        <w:rPr>
          <w:color w:val="030A13"/>
          <w:sz w:val="22"/>
          <w:szCs w:val="22"/>
        </w:rPr>
        <w:br/>
      </w:r>
      <w:r w:rsidRPr="00B902F8">
        <w:rPr>
          <w:color w:val="030A13"/>
          <w:sz w:val="22"/>
          <w:szCs w:val="22"/>
          <w:shd w:val="clear" w:color="auto" w:fill="FFFFFF"/>
        </w:rPr>
        <w:t>1350 Euclid Avenue</w:t>
      </w:r>
      <w:r w:rsidRPr="00B902F8">
        <w:rPr>
          <w:color w:val="030A13"/>
          <w:sz w:val="22"/>
          <w:szCs w:val="22"/>
        </w:rPr>
        <w:t xml:space="preserve">, </w:t>
      </w:r>
      <w:r w:rsidRPr="00B902F8">
        <w:rPr>
          <w:color w:val="030A13"/>
          <w:sz w:val="22"/>
          <w:szCs w:val="22"/>
          <w:shd w:val="clear" w:color="auto" w:fill="FFFFFF"/>
        </w:rPr>
        <w:t>Suite 325</w:t>
      </w:r>
      <w:r w:rsidRPr="00B902F8">
        <w:rPr>
          <w:color w:val="030A13"/>
          <w:sz w:val="22"/>
          <w:szCs w:val="22"/>
        </w:rPr>
        <w:t xml:space="preserve">, </w:t>
      </w:r>
      <w:r w:rsidRPr="00B902F8">
        <w:rPr>
          <w:color w:val="030A13"/>
          <w:sz w:val="22"/>
          <w:szCs w:val="22"/>
          <w:shd w:val="clear" w:color="auto" w:fill="FFFFFF"/>
        </w:rPr>
        <w:t>Cleveland, OH 44115</w:t>
      </w:r>
      <w:r w:rsidRPr="00B902F8">
        <w:rPr>
          <w:color w:val="030A13"/>
          <w:sz w:val="22"/>
          <w:szCs w:val="22"/>
        </w:rPr>
        <w:br/>
      </w:r>
      <w:r w:rsidRPr="00B902F8">
        <w:rPr>
          <w:color w:val="030A13"/>
          <w:sz w:val="22"/>
          <w:szCs w:val="22"/>
          <w:shd w:val="clear" w:color="auto" w:fill="FFFFFF"/>
        </w:rPr>
        <w:t>Telephone: (216) 522-4970</w:t>
      </w:r>
      <w:r w:rsidRPr="00B902F8">
        <w:rPr>
          <w:color w:val="030A13"/>
          <w:sz w:val="22"/>
          <w:szCs w:val="22"/>
        </w:rPr>
        <w:t xml:space="preserve"> </w:t>
      </w:r>
      <w:r w:rsidRPr="00B902F8">
        <w:rPr>
          <w:color w:val="030A13"/>
          <w:sz w:val="22"/>
          <w:szCs w:val="22"/>
          <w:shd w:val="clear" w:color="auto" w:fill="FFFFFF"/>
        </w:rPr>
        <w:t>Facsimile: (216) 522-2573</w:t>
      </w:r>
    </w:p>
    <w:p w14:paraId="786CDC8A" w14:textId="151BD0C8" w:rsidR="00D4012C" w:rsidRPr="00B902F8" w:rsidRDefault="00D4012C" w:rsidP="00D4012C">
      <w:pPr>
        <w:pStyle w:val="ListParagraph"/>
        <w:numPr>
          <w:ilvl w:val="1"/>
          <w:numId w:val="1"/>
        </w:numPr>
        <w:jc w:val="both"/>
        <w:rPr>
          <w:sz w:val="22"/>
          <w:szCs w:val="22"/>
        </w:rPr>
      </w:pPr>
      <w:r w:rsidRPr="00B902F8">
        <w:rPr>
          <w:sz w:val="22"/>
          <w:szCs w:val="22"/>
        </w:rPr>
        <w:t xml:space="preserve">If you write </w:t>
      </w:r>
      <w:r w:rsidR="00B902F8">
        <w:rPr>
          <w:sz w:val="22"/>
          <w:szCs w:val="22"/>
        </w:rPr>
        <w:t>a</w:t>
      </w:r>
      <w:r w:rsidRPr="00B902F8">
        <w:rPr>
          <w:sz w:val="22"/>
          <w:szCs w:val="22"/>
        </w:rPr>
        <w:t xml:space="preserve"> letter</w:t>
      </w:r>
      <w:r w:rsidR="00EB7A6F" w:rsidRPr="00B902F8">
        <w:rPr>
          <w:sz w:val="22"/>
          <w:szCs w:val="22"/>
        </w:rPr>
        <w:t xml:space="preserve"> </w:t>
      </w:r>
      <w:r w:rsidRPr="00B902F8">
        <w:rPr>
          <w:sz w:val="22"/>
          <w:szCs w:val="22"/>
        </w:rPr>
        <w:t xml:space="preserve"> </w:t>
      </w:r>
      <w:r w:rsidRPr="00B902F8">
        <w:rPr>
          <w:sz w:val="22"/>
          <w:szCs w:val="22"/>
        </w:rPr>
        <w:t>include:</w:t>
      </w:r>
      <w:r w:rsidRPr="00B902F8">
        <w:rPr>
          <w:sz w:val="22"/>
          <w:szCs w:val="22"/>
        </w:rPr>
        <w:t xml:space="preserve"> </w:t>
      </w:r>
      <w:r w:rsidRPr="00B902F8">
        <w:rPr>
          <w:sz w:val="22"/>
          <w:szCs w:val="22"/>
        </w:rPr>
        <w:t>The complainant's name, address and, if possible (although not required), a telephone number where the complainant may be reached;</w:t>
      </w:r>
      <w:r w:rsidRPr="00B902F8">
        <w:rPr>
          <w:sz w:val="22"/>
          <w:szCs w:val="22"/>
        </w:rPr>
        <w:t xml:space="preserve"> </w:t>
      </w:r>
      <w:r w:rsidRPr="00B902F8">
        <w:rPr>
          <w:sz w:val="22"/>
          <w:szCs w:val="22"/>
        </w:rPr>
        <w:t>Information about the person(s) or class of persons injured by the alleged discriminatory act(s) (names of the injured person(s) are not required);</w:t>
      </w:r>
      <w:r w:rsidRPr="00B902F8">
        <w:rPr>
          <w:sz w:val="22"/>
          <w:szCs w:val="22"/>
        </w:rPr>
        <w:t xml:space="preserve"> </w:t>
      </w:r>
      <w:r w:rsidRPr="00B902F8">
        <w:rPr>
          <w:sz w:val="22"/>
          <w:szCs w:val="22"/>
        </w:rPr>
        <w:t>The name and location (city and state) of the institution that committed the alleged discriminatory act(s); and</w:t>
      </w:r>
      <w:r w:rsidRPr="00B902F8">
        <w:rPr>
          <w:sz w:val="22"/>
          <w:szCs w:val="22"/>
        </w:rPr>
        <w:t xml:space="preserve"> a</w:t>
      </w:r>
      <w:r w:rsidRPr="00B902F8">
        <w:rPr>
          <w:sz w:val="22"/>
          <w:szCs w:val="22"/>
        </w:rPr>
        <w:t xml:space="preserve"> description of the alleged discriminatory act(s) in sufficient detail to enable OCR to understand what occurred, when it occurred, and the basis for the</w:t>
      </w:r>
      <w:r w:rsidRPr="00B902F8">
        <w:rPr>
          <w:sz w:val="22"/>
          <w:szCs w:val="22"/>
        </w:rPr>
        <w:t xml:space="preserve"> </w:t>
      </w:r>
      <w:r w:rsidRPr="00B902F8">
        <w:rPr>
          <w:sz w:val="22"/>
          <w:szCs w:val="22"/>
        </w:rPr>
        <w:t>alleged</w:t>
      </w:r>
      <w:r w:rsidRPr="00B902F8">
        <w:rPr>
          <w:sz w:val="22"/>
          <w:szCs w:val="22"/>
        </w:rPr>
        <w:t xml:space="preserve"> </w:t>
      </w:r>
      <w:r w:rsidRPr="00B902F8">
        <w:rPr>
          <w:sz w:val="22"/>
          <w:szCs w:val="22"/>
        </w:rPr>
        <w:t>discrimination.</w:t>
      </w:r>
      <w:r w:rsidRPr="00B902F8">
        <w:rPr>
          <w:rFonts w:ascii="Helvetica Neue" w:hAnsi="Helvetica Neue"/>
          <w:color w:val="030A13"/>
          <w:sz w:val="22"/>
          <w:szCs w:val="22"/>
        </w:rPr>
        <w:br/>
      </w:r>
    </w:p>
    <w:sectPr w:rsidR="00D4012C" w:rsidRPr="00B902F8" w:rsidSect="00B902F8">
      <w:headerReference w:type="default" r:id="rId11"/>
      <w:footerReference w:type="default" r:id="rId12"/>
      <w:pgSz w:w="12240" w:h="15840"/>
      <w:pgMar w:top="1440" w:right="1440" w:bottom="8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683F3" w14:textId="77777777" w:rsidR="00B16FB9" w:rsidRDefault="00B16FB9" w:rsidP="004761BD">
      <w:r>
        <w:separator/>
      </w:r>
    </w:p>
  </w:endnote>
  <w:endnote w:type="continuationSeparator" w:id="0">
    <w:p w14:paraId="0EE3E8E3" w14:textId="77777777" w:rsidR="00B16FB9" w:rsidRDefault="00B16FB9" w:rsidP="0047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8FD4" w14:textId="183CFB00" w:rsidR="00BD4106" w:rsidRPr="00BD4106" w:rsidRDefault="00BD4106" w:rsidP="00BD4106">
    <w:pPr>
      <w:pStyle w:val="Footer"/>
      <w:jc w:val="center"/>
      <w:rPr>
        <w:b/>
        <w:bCs/>
        <w:sz w:val="22"/>
        <w:szCs w:val="22"/>
      </w:rPr>
    </w:pPr>
    <w:r w:rsidRPr="00BD4106">
      <w:rPr>
        <w:b/>
        <w:bCs/>
        <w:sz w:val="22"/>
        <w:szCs w:val="22"/>
      </w:rPr>
      <w:t>Ariella J. Brown, Associate Director, Gender Equity &amp; Programs, SOPP and Title IX Coordinator</w:t>
    </w:r>
  </w:p>
  <w:p w14:paraId="49E7FD30" w14:textId="4C168D71" w:rsidR="00BD4106" w:rsidRPr="00BD4106" w:rsidRDefault="00BD4106" w:rsidP="00BD4106">
    <w:pPr>
      <w:pStyle w:val="Footer"/>
      <w:jc w:val="center"/>
      <w:rPr>
        <w:sz w:val="22"/>
        <w:szCs w:val="22"/>
      </w:rPr>
    </w:pPr>
    <w:r w:rsidRPr="00BD4106">
      <w:rPr>
        <w:sz w:val="22"/>
        <w:szCs w:val="22"/>
      </w:rPr>
      <w:t xml:space="preserve">E: </w:t>
    </w:r>
    <w:hyperlink r:id="rId1" w:history="1">
      <w:r w:rsidRPr="00BD4106">
        <w:rPr>
          <w:rStyle w:val="Hyperlink"/>
          <w:color w:val="000000" w:themeColor="text1"/>
          <w:sz w:val="22"/>
          <w:szCs w:val="22"/>
        </w:rPr>
        <w:t>Ariella.brown@antiochcollege.edu</w:t>
      </w:r>
    </w:hyperlink>
  </w:p>
  <w:p w14:paraId="43B6BC93" w14:textId="6D9879F2" w:rsidR="00BD4106" w:rsidRPr="00BD4106" w:rsidRDefault="00BD4106" w:rsidP="00BD4106">
    <w:pPr>
      <w:pStyle w:val="Footer"/>
      <w:jc w:val="center"/>
      <w:rPr>
        <w:sz w:val="22"/>
        <w:szCs w:val="22"/>
      </w:rPr>
    </w:pPr>
    <w:r w:rsidRPr="00BD4106">
      <w:rPr>
        <w:sz w:val="22"/>
        <w:szCs w:val="22"/>
      </w:rPr>
      <w:t>P: (937) 319-0135 C: (216) 309-0525</w:t>
    </w:r>
  </w:p>
  <w:p w14:paraId="31C2B370" w14:textId="03F1C0A3" w:rsidR="00BD4106" w:rsidRPr="00BD4106" w:rsidRDefault="00BD4106" w:rsidP="00BD4106">
    <w:pPr>
      <w:pStyle w:val="Footer"/>
      <w:jc w:val="center"/>
      <w:rPr>
        <w:sz w:val="22"/>
        <w:szCs w:val="22"/>
      </w:rPr>
    </w:pPr>
    <w:r w:rsidRPr="00BD4106">
      <w:rPr>
        <w:sz w:val="22"/>
        <w:szCs w:val="22"/>
      </w:rPr>
      <w:t>Office Location: South Hall, Suite 201</w:t>
    </w:r>
  </w:p>
  <w:p w14:paraId="23EE4EF3" w14:textId="0857927A" w:rsidR="00BD4106" w:rsidRPr="00BD4106" w:rsidRDefault="00BD4106" w:rsidP="00BD4106">
    <w:pPr>
      <w:pStyle w:val="Footer"/>
      <w:jc w:val="center"/>
      <w:rPr>
        <w:sz w:val="22"/>
        <w:szCs w:val="22"/>
      </w:rPr>
    </w:pPr>
    <w:r w:rsidRPr="00BD4106">
      <w:rPr>
        <w:sz w:val="22"/>
        <w:szCs w:val="22"/>
      </w:rPr>
      <w:t>One Morgan Place | Yellow Springs, Ohio 45387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EACAB" w14:textId="77777777" w:rsidR="00B16FB9" w:rsidRDefault="00B16FB9" w:rsidP="004761BD">
      <w:r>
        <w:separator/>
      </w:r>
    </w:p>
  </w:footnote>
  <w:footnote w:type="continuationSeparator" w:id="0">
    <w:p w14:paraId="50682950" w14:textId="77777777" w:rsidR="00B16FB9" w:rsidRDefault="00B16FB9" w:rsidP="00476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8B64" w14:textId="4AC7A443" w:rsidR="004761BD" w:rsidRPr="004A79E2" w:rsidRDefault="004761BD" w:rsidP="004761BD">
    <w:pPr>
      <w:pStyle w:val="Header"/>
      <w:ind w:left="720"/>
      <w:jc w:val="center"/>
      <w:rPr>
        <w:sz w:val="22"/>
        <w:szCs w:val="22"/>
      </w:rPr>
    </w:pPr>
    <w:r w:rsidRPr="004A79E2">
      <w:rPr>
        <w:noProof/>
        <w:sz w:val="22"/>
        <w:szCs w:val="22"/>
      </w:rPr>
      <w:drawing>
        <wp:anchor distT="0" distB="0" distL="114300" distR="114300" simplePos="0" relativeHeight="251659264" behindDoc="1" locked="0" layoutInCell="1" allowOverlap="1" wp14:anchorId="285784B8" wp14:editId="2AF918FE">
          <wp:simplePos x="0" y="0"/>
          <wp:positionH relativeFrom="column">
            <wp:posOffset>-860395</wp:posOffset>
          </wp:positionH>
          <wp:positionV relativeFrom="paragraph">
            <wp:posOffset>-414655</wp:posOffset>
          </wp:positionV>
          <wp:extent cx="1222375" cy="13100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2375" cy="1310005"/>
                  </a:xfrm>
                  <a:prstGeom prst="rect">
                    <a:avLst/>
                  </a:prstGeom>
                </pic:spPr>
              </pic:pic>
            </a:graphicData>
          </a:graphic>
          <wp14:sizeRelH relativeFrom="page">
            <wp14:pctWidth>0</wp14:pctWidth>
          </wp14:sizeRelH>
          <wp14:sizeRelV relativeFrom="page">
            <wp14:pctHeight>0</wp14:pctHeight>
          </wp14:sizeRelV>
        </wp:anchor>
      </w:drawing>
    </w:r>
    <w:r w:rsidRPr="004A3340">
      <w:rPr>
        <w:sz w:val="22"/>
        <w:szCs w:val="22"/>
      </w:rPr>
      <w:t>No person in the United States shall, on the basis of sex, be excluded from participation in, be denied the benefits of, or be subjected to discrimination under any educational program or activity receiving federal financial assistance.”</w:t>
    </w:r>
  </w:p>
  <w:p w14:paraId="7B9A3731" w14:textId="77777777" w:rsidR="004761BD" w:rsidRPr="004A79E2" w:rsidRDefault="004761BD" w:rsidP="004761BD">
    <w:pPr>
      <w:pStyle w:val="Header"/>
      <w:ind w:left="720"/>
      <w:rPr>
        <w:sz w:val="15"/>
        <w:szCs w:val="15"/>
      </w:rPr>
    </w:pPr>
  </w:p>
  <w:p w14:paraId="66445805" w14:textId="77777777" w:rsidR="004761BD" w:rsidRPr="004A79E2" w:rsidRDefault="004761BD" w:rsidP="004761BD">
    <w:pPr>
      <w:pStyle w:val="Header"/>
      <w:ind w:left="720"/>
      <w:jc w:val="center"/>
      <w:rPr>
        <w:i/>
        <w:iCs/>
        <w:sz w:val="22"/>
        <w:szCs w:val="22"/>
      </w:rPr>
    </w:pPr>
    <w:r w:rsidRPr="004A3340">
      <w:rPr>
        <w:i/>
        <w:iCs/>
        <w:sz w:val="22"/>
        <w:szCs w:val="22"/>
      </w:rPr>
      <w:t>– Title IX of the Education Amendments of 1972 Implementing Regulations at: 20 U.S.C. § 1681 &amp; 34 C.F.R. PART 106</w:t>
    </w:r>
  </w:p>
  <w:p w14:paraId="66F1B685" w14:textId="77777777" w:rsidR="004761BD" w:rsidRPr="004A79E2" w:rsidRDefault="004761BD" w:rsidP="004761BD">
    <w:pPr>
      <w:pStyle w:val="Header"/>
      <w:ind w:left="720"/>
      <w:jc w:val="center"/>
      <w:rPr>
        <w:i/>
        <w:iCs/>
        <w:sz w:val="15"/>
        <w:szCs w:val="15"/>
      </w:rPr>
    </w:pPr>
  </w:p>
  <w:p w14:paraId="65B473FC" w14:textId="59DCF7B6" w:rsidR="004761BD" w:rsidRDefault="004761BD" w:rsidP="004761BD">
    <w:pPr>
      <w:jc w:val="center"/>
      <w:rPr>
        <w:b/>
        <w:bCs/>
        <w:sz w:val="22"/>
        <w:szCs w:val="22"/>
      </w:rPr>
    </w:pPr>
    <w:r w:rsidRPr="004A79E2">
      <w:rPr>
        <w:b/>
        <w:bCs/>
        <w:sz w:val="22"/>
        <w:szCs w:val="22"/>
      </w:rPr>
      <w:t>Title IX: At-</w:t>
    </w:r>
    <w:r>
      <w:rPr>
        <w:b/>
        <w:bCs/>
        <w:sz w:val="22"/>
        <w:szCs w:val="22"/>
      </w:rPr>
      <w:t>A</w:t>
    </w:r>
    <w:r w:rsidRPr="004A79E2">
      <w:rPr>
        <w:b/>
        <w:bCs/>
        <w:sz w:val="22"/>
        <w:szCs w:val="22"/>
      </w:rPr>
      <w:t>-Glance</w:t>
    </w:r>
  </w:p>
  <w:p w14:paraId="0D17F363" w14:textId="2865687C" w:rsidR="004761BD" w:rsidRPr="004A79E2" w:rsidRDefault="004761BD" w:rsidP="004761BD">
    <w:pPr>
      <w:jc w:val="center"/>
      <w:rPr>
        <w:b/>
        <w:bCs/>
        <w:sz w:val="22"/>
        <w:szCs w:val="22"/>
      </w:rPr>
    </w:pPr>
    <w:r>
      <w:rPr>
        <w:b/>
        <w:bCs/>
        <w:sz w:val="22"/>
        <w:szCs w:val="22"/>
      </w:rPr>
      <w:t xml:space="preserve">FAQs &amp; Rights </w:t>
    </w:r>
  </w:p>
  <w:p w14:paraId="03A0A690" w14:textId="558E2FAB" w:rsidR="004761BD" w:rsidRDefault="00476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0DB7"/>
    <w:multiLevelType w:val="hybridMultilevel"/>
    <w:tmpl w:val="8CAADE7E"/>
    <w:lvl w:ilvl="0" w:tplc="0409000F">
      <w:start w:val="1"/>
      <w:numFmt w:val="decimal"/>
      <w:lvlText w:val="%1."/>
      <w:lvlJc w:val="left"/>
      <w:pPr>
        <w:ind w:left="720" w:hanging="360"/>
      </w:pPr>
    </w:lvl>
    <w:lvl w:ilvl="1" w:tplc="4348918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C5313"/>
    <w:multiLevelType w:val="hybridMultilevel"/>
    <w:tmpl w:val="2B6E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D0F"/>
    <w:multiLevelType w:val="hybridMultilevel"/>
    <w:tmpl w:val="D8D8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131C0"/>
    <w:multiLevelType w:val="multilevel"/>
    <w:tmpl w:val="BE2C4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32A6E"/>
    <w:multiLevelType w:val="hybridMultilevel"/>
    <w:tmpl w:val="D278D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6583D"/>
    <w:multiLevelType w:val="hybridMultilevel"/>
    <w:tmpl w:val="AD34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BD"/>
    <w:rsid w:val="00151AC4"/>
    <w:rsid w:val="004761BD"/>
    <w:rsid w:val="004B05E3"/>
    <w:rsid w:val="005F2EED"/>
    <w:rsid w:val="00B16FB9"/>
    <w:rsid w:val="00B902F8"/>
    <w:rsid w:val="00BD4106"/>
    <w:rsid w:val="00CE4CB3"/>
    <w:rsid w:val="00D4012C"/>
    <w:rsid w:val="00DA3122"/>
    <w:rsid w:val="00EB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2C51B"/>
  <w15:chartTrackingRefBased/>
  <w15:docId w15:val="{A1199DEF-A500-9043-967C-A4FB9D72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1BD"/>
    <w:pPr>
      <w:tabs>
        <w:tab w:val="center" w:pos="4680"/>
        <w:tab w:val="right" w:pos="9360"/>
      </w:tabs>
    </w:pPr>
  </w:style>
  <w:style w:type="character" w:customStyle="1" w:styleId="HeaderChar">
    <w:name w:val="Header Char"/>
    <w:basedOn w:val="DefaultParagraphFont"/>
    <w:link w:val="Header"/>
    <w:uiPriority w:val="99"/>
    <w:rsid w:val="004761BD"/>
  </w:style>
  <w:style w:type="paragraph" w:styleId="Footer">
    <w:name w:val="footer"/>
    <w:basedOn w:val="Normal"/>
    <w:link w:val="FooterChar"/>
    <w:uiPriority w:val="99"/>
    <w:unhideWhenUsed/>
    <w:rsid w:val="004761BD"/>
    <w:pPr>
      <w:tabs>
        <w:tab w:val="center" w:pos="4680"/>
        <w:tab w:val="right" w:pos="9360"/>
      </w:tabs>
    </w:pPr>
  </w:style>
  <w:style w:type="character" w:customStyle="1" w:styleId="FooterChar">
    <w:name w:val="Footer Char"/>
    <w:basedOn w:val="DefaultParagraphFont"/>
    <w:link w:val="Footer"/>
    <w:uiPriority w:val="99"/>
    <w:rsid w:val="004761BD"/>
  </w:style>
  <w:style w:type="character" w:styleId="Hyperlink">
    <w:name w:val="Hyperlink"/>
    <w:basedOn w:val="DefaultParagraphFont"/>
    <w:uiPriority w:val="99"/>
    <w:unhideWhenUsed/>
    <w:rsid w:val="00BD4106"/>
    <w:rPr>
      <w:color w:val="0563C1" w:themeColor="hyperlink"/>
      <w:u w:val="single"/>
    </w:rPr>
  </w:style>
  <w:style w:type="character" w:styleId="UnresolvedMention">
    <w:name w:val="Unresolved Mention"/>
    <w:basedOn w:val="DefaultParagraphFont"/>
    <w:uiPriority w:val="99"/>
    <w:semiHidden/>
    <w:unhideWhenUsed/>
    <w:rsid w:val="00BD4106"/>
    <w:rPr>
      <w:color w:val="605E5C"/>
      <w:shd w:val="clear" w:color="auto" w:fill="E1DFDD"/>
    </w:rPr>
  </w:style>
  <w:style w:type="paragraph" w:styleId="ListParagraph">
    <w:name w:val="List Paragraph"/>
    <w:basedOn w:val="Normal"/>
    <w:uiPriority w:val="34"/>
    <w:qFormat/>
    <w:rsid w:val="005F2EED"/>
    <w:pPr>
      <w:ind w:left="720"/>
      <w:contextualSpacing/>
    </w:pPr>
  </w:style>
  <w:style w:type="character" w:styleId="Emphasis">
    <w:name w:val="Emphasis"/>
    <w:basedOn w:val="DefaultParagraphFont"/>
    <w:uiPriority w:val="20"/>
    <w:qFormat/>
    <w:rsid w:val="00D4012C"/>
    <w:rPr>
      <w:i/>
      <w:iCs/>
    </w:rPr>
  </w:style>
  <w:style w:type="character" w:styleId="FollowedHyperlink">
    <w:name w:val="FollowedHyperlink"/>
    <w:basedOn w:val="DefaultParagraphFont"/>
    <w:uiPriority w:val="99"/>
    <w:semiHidden/>
    <w:unhideWhenUsed/>
    <w:rsid w:val="00D40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5464">
      <w:bodyDiv w:val="1"/>
      <w:marLeft w:val="0"/>
      <w:marRight w:val="0"/>
      <w:marTop w:val="0"/>
      <w:marBottom w:val="0"/>
      <w:divBdr>
        <w:top w:val="none" w:sz="0" w:space="0" w:color="auto"/>
        <w:left w:val="none" w:sz="0" w:space="0" w:color="auto"/>
        <w:bottom w:val="none" w:sz="0" w:space="0" w:color="auto"/>
        <w:right w:val="none" w:sz="0" w:space="0" w:color="auto"/>
      </w:divBdr>
    </w:div>
    <w:div w:id="399908321">
      <w:bodyDiv w:val="1"/>
      <w:marLeft w:val="0"/>
      <w:marRight w:val="0"/>
      <w:marTop w:val="0"/>
      <w:marBottom w:val="0"/>
      <w:divBdr>
        <w:top w:val="none" w:sz="0" w:space="0" w:color="auto"/>
        <w:left w:val="none" w:sz="0" w:space="0" w:color="auto"/>
        <w:bottom w:val="none" w:sz="0" w:space="0" w:color="auto"/>
        <w:right w:val="none" w:sz="0" w:space="0" w:color="auto"/>
      </w:divBdr>
    </w:div>
    <w:div w:id="547379879">
      <w:bodyDiv w:val="1"/>
      <w:marLeft w:val="0"/>
      <w:marRight w:val="0"/>
      <w:marTop w:val="0"/>
      <w:marBottom w:val="0"/>
      <w:divBdr>
        <w:top w:val="none" w:sz="0" w:space="0" w:color="auto"/>
        <w:left w:val="none" w:sz="0" w:space="0" w:color="auto"/>
        <w:bottom w:val="none" w:sz="0" w:space="0" w:color="auto"/>
        <w:right w:val="none" w:sz="0" w:space="0" w:color="auto"/>
      </w:divBdr>
    </w:div>
    <w:div w:id="662465611">
      <w:bodyDiv w:val="1"/>
      <w:marLeft w:val="0"/>
      <w:marRight w:val="0"/>
      <w:marTop w:val="0"/>
      <w:marBottom w:val="0"/>
      <w:divBdr>
        <w:top w:val="none" w:sz="0" w:space="0" w:color="auto"/>
        <w:left w:val="none" w:sz="0" w:space="0" w:color="auto"/>
        <w:bottom w:val="none" w:sz="0" w:space="0" w:color="auto"/>
        <w:right w:val="none" w:sz="0" w:space="0" w:color="auto"/>
      </w:divBdr>
    </w:div>
    <w:div w:id="1085151869">
      <w:bodyDiv w:val="1"/>
      <w:marLeft w:val="0"/>
      <w:marRight w:val="0"/>
      <w:marTop w:val="0"/>
      <w:marBottom w:val="0"/>
      <w:divBdr>
        <w:top w:val="none" w:sz="0" w:space="0" w:color="auto"/>
        <w:left w:val="none" w:sz="0" w:space="0" w:color="auto"/>
        <w:bottom w:val="none" w:sz="0" w:space="0" w:color="auto"/>
        <w:right w:val="none" w:sz="0" w:space="0" w:color="auto"/>
      </w:divBdr>
    </w:div>
    <w:div w:id="1132363345">
      <w:bodyDiv w:val="1"/>
      <w:marLeft w:val="0"/>
      <w:marRight w:val="0"/>
      <w:marTop w:val="0"/>
      <w:marBottom w:val="0"/>
      <w:divBdr>
        <w:top w:val="none" w:sz="0" w:space="0" w:color="auto"/>
        <w:left w:val="none" w:sz="0" w:space="0" w:color="auto"/>
        <w:bottom w:val="none" w:sz="0" w:space="0" w:color="auto"/>
        <w:right w:val="none" w:sz="0" w:space="0" w:color="auto"/>
      </w:divBdr>
    </w:div>
    <w:div w:id="1316880398">
      <w:bodyDiv w:val="1"/>
      <w:marLeft w:val="0"/>
      <w:marRight w:val="0"/>
      <w:marTop w:val="0"/>
      <w:marBottom w:val="0"/>
      <w:divBdr>
        <w:top w:val="none" w:sz="0" w:space="0" w:color="auto"/>
        <w:left w:val="none" w:sz="0" w:space="0" w:color="auto"/>
        <w:bottom w:val="none" w:sz="0" w:space="0" w:color="auto"/>
        <w:right w:val="none" w:sz="0" w:space="0" w:color="auto"/>
      </w:divBdr>
    </w:div>
    <w:div w:id="1342778414">
      <w:bodyDiv w:val="1"/>
      <w:marLeft w:val="0"/>
      <w:marRight w:val="0"/>
      <w:marTop w:val="0"/>
      <w:marBottom w:val="0"/>
      <w:divBdr>
        <w:top w:val="none" w:sz="0" w:space="0" w:color="auto"/>
        <w:left w:val="none" w:sz="0" w:space="0" w:color="auto"/>
        <w:bottom w:val="none" w:sz="0" w:space="0" w:color="auto"/>
        <w:right w:val="none" w:sz="0" w:space="0" w:color="auto"/>
      </w:divBdr>
    </w:div>
    <w:div w:id="1415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antioch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tiochcollege.edu/campus-life/sexual-offense-prevention-policy-title-i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CR.Cleveland@ed.gov" TargetMode="External"/><Relationship Id="rId4" Type="http://schemas.openxmlformats.org/officeDocument/2006/relationships/webSettings" Target="webSettings.xml"/><Relationship Id="rId9" Type="http://schemas.openxmlformats.org/officeDocument/2006/relationships/hyperlink" Target="https://www2.ed.gov/about/offices/list/ocr/complaintintro.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riella.brown@antioch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2020-07-01T13:19:00Z</dcterms:created>
  <dcterms:modified xsi:type="dcterms:W3CDTF">2020-07-01T14:46:00Z</dcterms:modified>
</cp:coreProperties>
</file>