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C3C2" w14:textId="086CEFD5" w:rsidR="004A3340" w:rsidRPr="004A79E2" w:rsidRDefault="00F91863" w:rsidP="004A3340">
      <w:pPr>
        <w:rPr>
          <w:b/>
          <w:bCs/>
          <w:sz w:val="22"/>
          <w:szCs w:val="22"/>
        </w:rPr>
      </w:pPr>
      <w:r w:rsidRPr="004A79E2">
        <w:rPr>
          <w:b/>
          <w:bCs/>
          <w:sz w:val="22"/>
          <w:szCs w:val="22"/>
        </w:rPr>
        <w:t>Title IX Definition of Sexual Harassment:</w:t>
      </w:r>
    </w:p>
    <w:p w14:paraId="563970CE" w14:textId="1F39BA16" w:rsidR="00F91863" w:rsidRPr="004A79E2" w:rsidRDefault="00F91863" w:rsidP="004A3340">
      <w:pPr>
        <w:rPr>
          <w:sz w:val="22"/>
          <w:szCs w:val="22"/>
        </w:rPr>
      </w:pPr>
      <w:r w:rsidRPr="004A79E2">
        <w:rPr>
          <w:sz w:val="22"/>
          <w:szCs w:val="22"/>
        </w:rPr>
        <w:t>Covers 3 categories of conduct</w:t>
      </w:r>
      <w:r w:rsidR="001F7FB8" w:rsidRPr="004A79E2">
        <w:rPr>
          <w:sz w:val="22"/>
          <w:szCs w:val="22"/>
        </w:rPr>
        <w:t xml:space="preserve"> - </w:t>
      </w:r>
    </w:p>
    <w:p w14:paraId="61BE70B6" w14:textId="45713D3B" w:rsidR="00F91863" w:rsidRPr="004A79E2" w:rsidRDefault="00F91863" w:rsidP="003E451A">
      <w:pPr>
        <w:pStyle w:val="ListParagraph"/>
        <w:numPr>
          <w:ilvl w:val="0"/>
          <w:numId w:val="2"/>
        </w:numPr>
        <w:jc w:val="both"/>
        <w:rPr>
          <w:sz w:val="22"/>
          <w:szCs w:val="22"/>
        </w:rPr>
      </w:pPr>
      <w:r w:rsidRPr="004A79E2">
        <w:rPr>
          <w:sz w:val="22"/>
          <w:szCs w:val="22"/>
        </w:rPr>
        <w:t>Quid Pro Quo</w:t>
      </w:r>
      <w:r w:rsidR="00A22B62">
        <w:rPr>
          <w:sz w:val="22"/>
          <w:szCs w:val="22"/>
        </w:rPr>
        <w:t xml:space="preserve"> </w:t>
      </w:r>
      <w:r w:rsidR="00181CF7">
        <w:rPr>
          <w:sz w:val="22"/>
          <w:szCs w:val="22"/>
        </w:rPr>
        <w:t>-</w:t>
      </w:r>
      <w:r w:rsidR="00181CF7" w:rsidRPr="00181CF7">
        <w:rPr>
          <w:sz w:val="22"/>
          <w:szCs w:val="22"/>
        </w:rPr>
        <w:t xml:space="preserve"> </w:t>
      </w:r>
      <w:r w:rsidR="00181CF7" w:rsidRPr="00181CF7">
        <w:rPr>
          <w:sz w:val="22"/>
          <w:szCs w:val="22"/>
        </w:rPr>
        <w:t xml:space="preserve">An employee conditioning the provision of an aid, benefit, or service of the </w:t>
      </w:r>
      <w:r w:rsidR="00181CF7">
        <w:rPr>
          <w:sz w:val="22"/>
          <w:szCs w:val="22"/>
        </w:rPr>
        <w:t xml:space="preserve">College </w:t>
      </w:r>
      <w:r w:rsidR="00181CF7" w:rsidRPr="00181CF7">
        <w:rPr>
          <w:sz w:val="22"/>
          <w:szCs w:val="22"/>
        </w:rPr>
        <w:t>on an individual’s participation in unwelcome sexual conduct</w:t>
      </w:r>
    </w:p>
    <w:p w14:paraId="30536069" w14:textId="05350AE1" w:rsidR="00F91863" w:rsidRPr="004A79E2" w:rsidRDefault="00F91863" w:rsidP="003E451A">
      <w:pPr>
        <w:pStyle w:val="ListParagraph"/>
        <w:numPr>
          <w:ilvl w:val="0"/>
          <w:numId w:val="2"/>
        </w:numPr>
        <w:jc w:val="both"/>
        <w:rPr>
          <w:sz w:val="22"/>
          <w:szCs w:val="22"/>
        </w:rPr>
      </w:pPr>
      <w:r w:rsidRPr="004A79E2">
        <w:rPr>
          <w:sz w:val="22"/>
          <w:szCs w:val="22"/>
        </w:rPr>
        <w:t xml:space="preserve">Sexual assault, dating violence, domestic violence, and stalking as defined by the </w:t>
      </w:r>
      <w:proofErr w:type="spellStart"/>
      <w:r w:rsidRPr="004A79E2">
        <w:rPr>
          <w:sz w:val="22"/>
          <w:szCs w:val="22"/>
        </w:rPr>
        <w:t>Clery</w:t>
      </w:r>
      <w:proofErr w:type="spellEnd"/>
      <w:r w:rsidRPr="004A79E2">
        <w:rPr>
          <w:sz w:val="22"/>
          <w:szCs w:val="22"/>
        </w:rPr>
        <w:t xml:space="preserve"> Act</w:t>
      </w:r>
    </w:p>
    <w:p w14:paraId="5EEF099E" w14:textId="60D621AE" w:rsidR="00F91863" w:rsidRPr="004A79E2" w:rsidRDefault="00F91863" w:rsidP="003E451A">
      <w:pPr>
        <w:pStyle w:val="ListParagraph"/>
        <w:numPr>
          <w:ilvl w:val="0"/>
          <w:numId w:val="2"/>
        </w:numPr>
        <w:jc w:val="both"/>
        <w:rPr>
          <w:sz w:val="22"/>
          <w:szCs w:val="22"/>
        </w:rPr>
      </w:pPr>
      <w:r w:rsidRPr="004A79E2">
        <w:rPr>
          <w:sz w:val="22"/>
          <w:szCs w:val="22"/>
        </w:rPr>
        <w:t xml:space="preserve">Any other “unwelcome conduct on the basis of sex that is so severe, pervasive, and objectively offensive that it denies a person access to the recipient’s education program or activity.” </w:t>
      </w:r>
    </w:p>
    <w:p w14:paraId="6764961D" w14:textId="77777777" w:rsidR="00F91863" w:rsidRPr="00181CF7" w:rsidRDefault="00F91863" w:rsidP="00F91863">
      <w:pPr>
        <w:rPr>
          <w:b/>
          <w:bCs/>
          <w:sz w:val="16"/>
          <w:szCs w:val="16"/>
        </w:rPr>
      </w:pPr>
    </w:p>
    <w:p w14:paraId="11D7052D" w14:textId="18DFCD99" w:rsidR="00F91863" w:rsidRPr="004A79E2" w:rsidRDefault="00F91863" w:rsidP="00F91863">
      <w:pPr>
        <w:rPr>
          <w:b/>
          <w:bCs/>
          <w:sz w:val="22"/>
          <w:szCs w:val="22"/>
        </w:rPr>
      </w:pPr>
      <w:r w:rsidRPr="004A79E2">
        <w:rPr>
          <w:b/>
          <w:bCs/>
          <w:sz w:val="22"/>
          <w:szCs w:val="22"/>
        </w:rPr>
        <w:t>Education Program definition:</w:t>
      </w:r>
    </w:p>
    <w:p w14:paraId="5CDF321C" w14:textId="139D6BE5" w:rsidR="00F91863" w:rsidRPr="004A79E2" w:rsidRDefault="00F91863" w:rsidP="003E451A">
      <w:pPr>
        <w:pStyle w:val="ListParagraph"/>
        <w:numPr>
          <w:ilvl w:val="0"/>
          <w:numId w:val="3"/>
        </w:numPr>
        <w:jc w:val="both"/>
        <w:rPr>
          <w:sz w:val="22"/>
          <w:szCs w:val="22"/>
        </w:rPr>
      </w:pPr>
      <w:r w:rsidRPr="004A79E2">
        <w:rPr>
          <w:sz w:val="22"/>
          <w:szCs w:val="22"/>
        </w:rPr>
        <w:t xml:space="preserve">Includes locations or events over which the institution has authority or substantial control over the accused </w:t>
      </w:r>
      <w:r w:rsidR="003E451A" w:rsidRPr="004A79E2">
        <w:rPr>
          <w:sz w:val="22"/>
          <w:szCs w:val="22"/>
        </w:rPr>
        <w:t xml:space="preserve">individual </w:t>
      </w:r>
      <w:r w:rsidRPr="004A79E2">
        <w:rPr>
          <w:sz w:val="22"/>
          <w:szCs w:val="22"/>
        </w:rPr>
        <w:t xml:space="preserve">and the context in which the harassment occurs. This includes venues on and off-campus that the institution owns, controls or has officially recognized as an organization or student affiliated organization. </w:t>
      </w:r>
    </w:p>
    <w:p w14:paraId="2EAD180E" w14:textId="418098A5" w:rsidR="00F91863" w:rsidRPr="00181CF7" w:rsidRDefault="00F91863" w:rsidP="00F91863">
      <w:pPr>
        <w:rPr>
          <w:b/>
          <w:bCs/>
          <w:sz w:val="16"/>
          <w:szCs w:val="16"/>
        </w:rPr>
      </w:pPr>
    </w:p>
    <w:p w14:paraId="7D6CB752" w14:textId="04847A1C" w:rsidR="00F91863" w:rsidRPr="004A79E2" w:rsidRDefault="00F91863" w:rsidP="00F91863">
      <w:pPr>
        <w:rPr>
          <w:b/>
          <w:bCs/>
          <w:sz w:val="22"/>
          <w:szCs w:val="22"/>
        </w:rPr>
      </w:pPr>
      <w:r w:rsidRPr="004A79E2">
        <w:rPr>
          <w:b/>
          <w:bCs/>
          <w:sz w:val="22"/>
          <w:szCs w:val="22"/>
        </w:rPr>
        <w:t>Notice</w:t>
      </w:r>
      <w:r w:rsidR="006833D1">
        <w:rPr>
          <w:b/>
          <w:bCs/>
          <w:sz w:val="22"/>
          <w:szCs w:val="22"/>
        </w:rPr>
        <w:t xml:space="preserve"> and </w:t>
      </w:r>
      <w:r w:rsidRPr="004A79E2">
        <w:rPr>
          <w:b/>
          <w:bCs/>
          <w:sz w:val="22"/>
          <w:szCs w:val="22"/>
        </w:rPr>
        <w:t xml:space="preserve">Actual Knowledge of </w:t>
      </w:r>
      <w:r w:rsidR="006833D1">
        <w:rPr>
          <w:b/>
          <w:bCs/>
          <w:sz w:val="22"/>
          <w:szCs w:val="22"/>
        </w:rPr>
        <w:t>Sex based h</w:t>
      </w:r>
      <w:r w:rsidRPr="004A79E2">
        <w:rPr>
          <w:b/>
          <w:bCs/>
          <w:sz w:val="22"/>
          <w:szCs w:val="22"/>
        </w:rPr>
        <w:t xml:space="preserve">arassment under Title IX: </w:t>
      </w:r>
    </w:p>
    <w:p w14:paraId="5FDA6EBF" w14:textId="26B2CCF1" w:rsidR="00C664CF" w:rsidRPr="004A79E2" w:rsidRDefault="00C664CF" w:rsidP="003E451A">
      <w:pPr>
        <w:pStyle w:val="ListParagraph"/>
        <w:numPr>
          <w:ilvl w:val="0"/>
          <w:numId w:val="3"/>
        </w:numPr>
        <w:jc w:val="both"/>
        <w:rPr>
          <w:sz w:val="22"/>
          <w:szCs w:val="22"/>
        </w:rPr>
      </w:pPr>
      <w:r w:rsidRPr="004A79E2">
        <w:rPr>
          <w:sz w:val="22"/>
          <w:szCs w:val="22"/>
        </w:rPr>
        <w:t xml:space="preserve">Occurs only when an official that can reasonably take notice has been informed, </w:t>
      </w:r>
      <w:proofErr w:type="spellStart"/>
      <w:r w:rsidRPr="004A79E2">
        <w:rPr>
          <w:sz w:val="22"/>
          <w:szCs w:val="22"/>
        </w:rPr>
        <w:t>ie</w:t>
      </w:r>
      <w:proofErr w:type="spellEnd"/>
      <w:r w:rsidRPr="004A79E2">
        <w:rPr>
          <w:sz w:val="22"/>
          <w:szCs w:val="22"/>
        </w:rPr>
        <w:t xml:space="preserve">: Title IX Coordinator and other officials the institution recognizes as someone that can reasonably take action. </w:t>
      </w:r>
    </w:p>
    <w:p w14:paraId="346CF160" w14:textId="14B305B2" w:rsidR="00EA2EE4" w:rsidRPr="004A79E2" w:rsidRDefault="00EA2EE4" w:rsidP="003E451A">
      <w:pPr>
        <w:pStyle w:val="ListParagraph"/>
        <w:numPr>
          <w:ilvl w:val="0"/>
          <w:numId w:val="3"/>
        </w:numPr>
        <w:jc w:val="both"/>
        <w:rPr>
          <w:sz w:val="22"/>
          <w:szCs w:val="22"/>
        </w:rPr>
      </w:pPr>
      <w:r w:rsidRPr="004A79E2">
        <w:rPr>
          <w:sz w:val="22"/>
          <w:szCs w:val="22"/>
        </w:rPr>
        <w:t xml:space="preserve">Educational Institutions are required to provide notice about grievance procedures, including any available informal resolution process and complaint allegations to both parties. </w:t>
      </w:r>
    </w:p>
    <w:p w14:paraId="51AA81E0" w14:textId="7DEEFA7A" w:rsidR="00EA2EE4" w:rsidRPr="004A79E2" w:rsidRDefault="00EA2EE4" w:rsidP="003E451A">
      <w:pPr>
        <w:pStyle w:val="ListParagraph"/>
        <w:numPr>
          <w:ilvl w:val="0"/>
          <w:numId w:val="3"/>
        </w:numPr>
        <w:jc w:val="both"/>
        <w:rPr>
          <w:sz w:val="22"/>
          <w:szCs w:val="22"/>
        </w:rPr>
      </w:pPr>
      <w:r w:rsidRPr="004A79E2">
        <w:rPr>
          <w:sz w:val="22"/>
          <w:szCs w:val="22"/>
        </w:rPr>
        <w:t xml:space="preserve">Such notice is required to contain: adequate information about the alleged misconduct, including identities, date, location and alleged conduct that constituted a violation </w:t>
      </w:r>
    </w:p>
    <w:p w14:paraId="409216B5" w14:textId="3F7DEF20" w:rsidR="00C664CF" w:rsidRPr="00181CF7" w:rsidRDefault="00C664CF" w:rsidP="00F91863">
      <w:pPr>
        <w:rPr>
          <w:b/>
          <w:bCs/>
          <w:sz w:val="16"/>
          <w:szCs w:val="16"/>
        </w:rPr>
      </w:pPr>
    </w:p>
    <w:p w14:paraId="5D4B8281" w14:textId="7C8BC146" w:rsidR="00C664CF" w:rsidRPr="004A79E2" w:rsidRDefault="00C664CF" w:rsidP="00F91863">
      <w:pPr>
        <w:rPr>
          <w:b/>
          <w:bCs/>
          <w:sz w:val="22"/>
          <w:szCs w:val="22"/>
        </w:rPr>
      </w:pPr>
      <w:r w:rsidRPr="004A79E2">
        <w:rPr>
          <w:b/>
          <w:bCs/>
          <w:sz w:val="22"/>
          <w:szCs w:val="22"/>
        </w:rPr>
        <w:t>Title IX Coordinator</w:t>
      </w:r>
      <w:r w:rsidR="006833D1">
        <w:rPr>
          <w:b/>
          <w:bCs/>
          <w:sz w:val="22"/>
          <w:szCs w:val="22"/>
        </w:rPr>
        <w:t xml:space="preserve"> and Trainings</w:t>
      </w:r>
      <w:r w:rsidRPr="004A79E2">
        <w:rPr>
          <w:b/>
          <w:bCs/>
          <w:sz w:val="22"/>
          <w:szCs w:val="22"/>
        </w:rPr>
        <w:t xml:space="preserve">: </w:t>
      </w:r>
    </w:p>
    <w:p w14:paraId="04929F2E" w14:textId="1565CEDD" w:rsidR="00B06B78" w:rsidRPr="004A79E2" w:rsidRDefault="00B06B78" w:rsidP="00B06B78">
      <w:pPr>
        <w:pStyle w:val="ListParagraph"/>
        <w:numPr>
          <w:ilvl w:val="0"/>
          <w:numId w:val="3"/>
        </w:numPr>
        <w:jc w:val="both"/>
        <w:rPr>
          <w:sz w:val="22"/>
          <w:szCs w:val="22"/>
        </w:rPr>
      </w:pPr>
      <w:r w:rsidRPr="004A79E2">
        <w:rPr>
          <w:sz w:val="22"/>
          <w:szCs w:val="22"/>
        </w:rPr>
        <w:t xml:space="preserve">At least one employee must be designated as the Title IX Coordinator (TIXC) </w:t>
      </w:r>
    </w:p>
    <w:p w14:paraId="2EDE60F0" w14:textId="36630EF6" w:rsidR="003E451A" w:rsidRPr="004A79E2" w:rsidRDefault="00C664CF" w:rsidP="00B06B78">
      <w:pPr>
        <w:pStyle w:val="ListParagraph"/>
        <w:numPr>
          <w:ilvl w:val="0"/>
          <w:numId w:val="3"/>
        </w:numPr>
        <w:jc w:val="both"/>
        <w:rPr>
          <w:sz w:val="22"/>
          <w:szCs w:val="22"/>
        </w:rPr>
      </w:pPr>
      <w:r w:rsidRPr="004A79E2">
        <w:rPr>
          <w:sz w:val="22"/>
          <w:szCs w:val="22"/>
        </w:rPr>
        <w:t xml:space="preserve">Institutions must publicize Title IX Coordinator’s contact information </w:t>
      </w:r>
      <w:r w:rsidR="00181CF7">
        <w:rPr>
          <w:sz w:val="22"/>
          <w:szCs w:val="22"/>
        </w:rPr>
        <w:t xml:space="preserve">prominently </w:t>
      </w:r>
      <w:r w:rsidRPr="004A79E2">
        <w:rPr>
          <w:sz w:val="22"/>
          <w:szCs w:val="22"/>
        </w:rPr>
        <w:t xml:space="preserve">on its website, and notify campus community of the TIXC contact information, and notify students and employees of its nondiscrimination policy. </w:t>
      </w:r>
    </w:p>
    <w:p w14:paraId="5EEE00BB" w14:textId="5954F902" w:rsidR="00C664CF" w:rsidRPr="004A79E2" w:rsidRDefault="00C664CF" w:rsidP="00B06B78">
      <w:pPr>
        <w:pStyle w:val="ListParagraph"/>
        <w:numPr>
          <w:ilvl w:val="0"/>
          <w:numId w:val="3"/>
        </w:numPr>
        <w:jc w:val="both"/>
        <w:rPr>
          <w:sz w:val="22"/>
          <w:szCs w:val="22"/>
        </w:rPr>
      </w:pPr>
      <w:r w:rsidRPr="004A79E2">
        <w:rPr>
          <w:sz w:val="22"/>
          <w:szCs w:val="22"/>
        </w:rPr>
        <w:t>Institutions must also publi</w:t>
      </w:r>
      <w:r w:rsidR="003E451A" w:rsidRPr="004A79E2">
        <w:rPr>
          <w:sz w:val="22"/>
          <w:szCs w:val="22"/>
        </w:rPr>
        <w:t>sh</w:t>
      </w:r>
      <w:r w:rsidRPr="004A79E2">
        <w:rPr>
          <w:sz w:val="22"/>
          <w:szCs w:val="22"/>
        </w:rPr>
        <w:t xml:space="preserve"> all relevant trainings </w:t>
      </w:r>
      <w:r w:rsidR="003E451A" w:rsidRPr="004A79E2">
        <w:rPr>
          <w:sz w:val="22"/>
          <w:szCs w:val="22"/>
        </w:rPr>
        <w:t xml:space="preserve">on </w:t>
      </w:r>
      <w:r w:rsidR="00181CF7">
        <w:rPr>
          <w:sz w:val="22"/>
          <w:szCs w:val="22"/>
        </w:rPr>
        <w:t xml:space="preserve">its </w:t>
      </w:r>
      <w:r w:rsidR="003E451A" w:rsidRPr="004A79E2">
        <w:rPr>
          <w:sz w:val="22"/>
          <w:szCs w:val="22"/>
        </w:rPr>
        <w:t xml:space="preserve">college website, </w:t>
      </w:r>
      <w:r w:rsidRPr="004A79E2">
        <w:rPr>
          <w:sz w:val="22"/>
          <w:szCs w:val="22"/>
        </w:rPr>
        <w:t>completed by Title IX personnel, including</w:t>
      </w:r>
      <w:r w:rsidR="003E451A" w:rsidRPr="004A79E2">
        <w:rPr>
          <w:sz w:val="22"/>
          <w:szCs w:val="22"/>
        </w:rPr>
        <w:t>, TIXC,</w:t>
      </w:r>
      <w:r w:rsidRPr="004A79E2">
        <w:rPr>
          <w:sz w:val="22"/>
          <w:szCs w:val="22"/>
        </w:rPr>
        <w:t xml:space="preserve"> deputies, investigators</w:t>
      </w:r>
      <w:r w:rsidR="003C4A79" w:rsidRPr="004A79E2">
        <w:rPr>
          <w:sz w:val="22"/>
          <w:szCs w:val="22"/>
        </w:rPr>
        <w:t xml:space="preserve">, </w:t>
      </w:r>
      <w:r w:rsidRPr="004A79E2">
        <w:rPr>
          <w:sz w:val="22"/>
          <w:szCs w:val="22"/>
        </w:rPr>
        <w:t>hearing</w:t>
      </w:r>
      <w:r w:rsidR="003C4A79" w:rsidRPr="004A79E2">
        <w:rPr>
          <w:sz w:val="22"/>
          <w:szCs w:val="22"/>
        </w:rPr>
        <w:t xml:space="preserve"> and appeals</w:t>
      </w:r>
      <w:r w:rsidRPr="004A79E2">
        <w:rPr>
          <w:sz w:val="22"/>
          <w:szCs w:val="22"/>
        </w:rPr>
        <w:t xml:space="preserve"> officers. </w:t>
      </w:r>
    </w:p>
    <w:p w14:paraId="36CCD161" w14:textId="77777777" w:rsidR="00FE2FAA" w:rsidRPr="00181CF7" w:rsidRDefault="00FE2FAA" w:rsidP="00F91863">
      <w:pPr>
        <w:rPr>
          <w:b/>
          <w:bCs/>
          <w:sz w:val="16"/>
          <w:szCs w:val="16"/>
        </w:rPr>
      </w:pPr>
    </w:p>
    <w:p w14:paraId="16636E54" w14:textId="3A7F0AC4" w:rsidR="00C664CF" w:rsidRPr="004A79E2" w:rsidRDefault="00C664CF" w:rsidP="00F91863">
      <w:pPr>
        <w:rPr>
          <w:b/>
          <w:bCs/>
          <w:sz w:val="22"/>
          <w:szCs w:val="22"/>
        </w:rPr>
      </w:pPr>
      <w:r w:rsidRPr="004A79E2">
        <w:rPr>
          <w:b/>
          <w:bCs/>
          <w:sz w:val="22"/>
          <w:szCs w:val="22"/>
        </w:rPr>
        <w:t xml:space="preserve">Grievance Process: </w:t>
      </w:r>
    </w:p>
    <w:p w14:paraId="5FA209A9" w14:textId="5ACA38B5" w:rsidR="003E451A" w:rsidRPr="004A79E2" w:rsidRDefault="003E451A" w:rsidP="00B06B78">
      <w:pPr>
        <w:pStyle w:val="ListParagraph"/>
        <w:numPr>
          <w:ilvl w:val="0"/>
          <w:numId w:val="5"/>
        </w:numPr>
        <w:jc w:val="both"/>
        <w:rPr>
          <w:sz w:val="22"/>
          <w:szCs w:val="22"/>
        </w:rPr>
      </w:pPr>
      <w:r w:rsidRPr="004A79E2">
        <w:rPr>
          <w:sz w:val="22"/>
          <w:szCs w:val="22"/>
        </w:rPr>
        <w:t xml:space="preserve">Educational Institutions are required to publish their grievance procedures. </w:t>
      </w:r>
    </w:p>
    <w:p w14:paraId="29434819" w14:textId="67892A99" w:rsidR="00C664CF" w:rsidRPr="004A79E2" w:rsidRDefault="00C664CF" w:rsidP="00B06B78">
      <w:pPr>
        <w:pStyle w:val="ListParagraph"/>
        <w:numPr>
          <w:ilvl w:val="0"/>
          <w:numId w:val="4"/>
        </w:numPr>
        <w:jc w:val="both"/>
        <w:rPr>
          <w:sz w:val="22"/>
          <w:szCs w:val="22"/>
        </w:rPr>
      </w:pPr>
      <w:r w:rsidRPr="004A79E2">
        <w:rPr>
          <w:sz w:val="22"/>
          <w:szCs w:val="22"/>
        </w:rPr>
        <w:t xml:space="preserve">When an institution receives a report of sexual harassment under Title IX, the TIXC must provide information to the complainant on supportive measures. </w:t>
      </w:r>
    </w:p>
    <w:p w14:paraId="390FC6EF" w14:textId="28A62AA9" w:rsidR="004227B0" w:rsidRPr="004227B0" w:rsidRDefault="00C664CF" w:rsidP="004227B0">
      <w:pPr>
        <w:pStyle w:val="ListParagraph"/>
        <w:numPr>
          <w:ilvl w:val="0"/>
          <w:numId w:val="4"/>
        </w:numPr>
        <w:jc w:val="both"/>
        <w:rPr>
          <w:sz w:val="22"/>
          <w:szCs w:val="22"/>
        </w:rPr>
      </w:pPr>
      <w:r w:rsidRPr="004A79E2">
        <w:rPr>
          <w:sz w:val="22"/>
          <w:szCs w:val="22"/>
        </w:rPr>
        <w:t>Supportive measures are defined as: “non-disciplinary, non-punitive individualized services” that are available to both parties and that are designed to support continued</w:t>
      </w:r>
      <w:r w:rsidRPr="004A79E2">
        <w:rPr>
          <w:b/>
          <w:bCs/>
          <w:sz w:val="22"/>
          <w:szCs w:val="22"/>
        </w:rPr>
        <w:t xml:space="preserve"> </w:t>
      </w:r>
      <w:r w:rsidRPr="004A79E2">
        <w:rPr>
          <w:sz w:val="22"/>
          <w:szCs w:val="22"/>
        </w:rPr>
        <w:t xml:space="preserve">access to an education program or activity “without unreasonably burdening the other party.” </w:t>
      </w:r>
    </w:p>
    <w:p w14:paraId="6CDA8138" w14:textId="78D5993C" w:rsidR="00351968" w:rsidRPr="004227B0" w:rsidRDefault="0097611F" w:rsidP="004227B0">
      <w:pPr>
        <w:pStyle w:val="ListParagraph"/>
        <w:numPr>
          <w:ilvl w:val="0"/>
          <w:numId w:val="4"/>
        </w:numPr>
        <w:jc w:val="both"/>
        <w:rPr>
          <w:sz w:val="22"/>
          <w:szCs w:val="22"/>
        </w:rPr>
      </w:pPr>
      <w:r w:rsidRPr="004A79E2">
        <w:rPr>
          <w:sz w:val="22"/>
          <w:szCs w:val="22"/>
        </w:rPr>
        <w:lastRenderedPageBreak/>
        <w:t xml:space="preserve">Institutions must conduct an investigation </w:t>
      </w:r>
      <w:r w:rsidRPr="004A79E2">
        <w:rPr>
          <w:i/>
          <w:iCs/>
          <w:sz w:val="22"/>
          <w:szCs w:val="22"/>
        </w:rPr>
        <w:t>only if</w:t>
      </w:r>
      <w:r w:rsidRPr="004A79E2">
        <w:rPr>
          <w:sz w:val="22"/>
          <w:szCs w:val="22"/>
        </w:rPr>
        <w:t xml:space="preserve"> a formal complaint of harassment is filed</w:t>
      </w:r>
      <w:r w:rsidR="006833D1">
        <w:rPr>
          <w:sz w:val="22"/>
          <w:szCs w:val="22"/>
        </w:rPr>
        <w:t xml:space="preserve"> by the complainant or </w:t>
      </w:r>
      <w:r w:rsidR="00181CF7">
        <w:rPr>
          <w:sz w:val="22"/>
          <w:szCs w:val="22"/>
        </w:rPr>
        <w:t>signed by the</w:t>
      </w:r>
      <w:r w:rsidR="006833D1">
        <w:rPr>
          <w:sz w:val="22"/>
          <w:szCs w:val="22"/>
        </w:rPr>
        <w:t xml:space="preserve"> Title IX Coordinator.  </w:t>
      </w:r>
    </w:p>
    <w:p w14:paraId="164CB2E0" w14:textId="4857342B" w:rsidR="00BB7559" w:rsidRPr="004A79E2" w:rsidRDefault="00BB7559" w:rsidP="00710842">
      <w:pPr>
        <w:pStyle w:val="ListParagraph"/>
        <w:numPr>
          <w:ilvl w:val="0"/>
          <w:numId w:val="4"/>
        </w:numPr>
        <w:jc w:val="both"/>
        <w:rPr>
          <w:sz w:val="22"/>
          <w:szCs w:val="22"/>
        </w:rPr>
      </w:pPr>
      <w:r w:rsidRPr="004A79E2">
        <w:rPr>
          <w:sz w:val="22"/>
          <w:szCs w:val="22"/>
        </w:rPr>
        <w:t xml:space="preserve">Educational institutions are required to dismiss formal complaints alleging conduct that does not meet the new, narrower definition of sexual harassment that has not occurred with an institution’s education program or activity or that did not occur against a person in the United States. </w:t>
      </w:r>
    </w:p>
    <w:p w14:paraId="21BE46B3" w14:textId="60988A92" w:rsidR="00BB7559" w:rsidRPr="004A79E2" w:rsidRDefault="00BB7559" w:rsidP="00710842">
      <w:pPr>
        <w:pStyle w:val="ListParagraph"/>
        <w:numPr>
          <w:ilvl w:val="0"/>
          <w:numId w:val="4"/>
        </w:numPr>
        <w:jc w:val="both"/>
        <w:rPr>
          <w:sz w:val="22"/>
          <w:szCs w:val="22"/>
        </w:rPr>
      </w:pPr>
      <w:r w:rsidRPr="004A79E2">
        <w:rPr>
          <w:sz w:val="22"/>
          <w:szCs w:val="22"/>
        </w:rPr>
        <w:t>If a complaint of harassment is filed during a study abroad program, the complaint can only be handled through the College student conduct process or other College grievance process</w:t>
      </w:r>
      <w:r w:rsidR="006833D1">
        <w:rPr>
          <w:sz w:val="22"/>
          <w:szCs w:val="22"/>
        </w:rPr>
        <w:t>es</w:t>
      </w:r>
      <w:r w:rsidRPr="004A79E2">
        <w:rPr>
          <w:sz w:val="22"/>
          <w:szCs w:val="22"/>
        </w:rPr>
        <w:t xml:space="preserve"> separate from the mandated Title IX grievance process since the alleged complaint happened outside of the jurisdiction of </w:t>
      </w:r>
      <w:r w:rsidR="00803D6C">
        <w:rPr>
          <w:sz w:val="22"/>
          <w:szCs w:val="22"/>
        </w:rPr>
        <w:t xml:space="preserve">the </w:t>
      </w:r>
      <w:r w:rsidRPr="004A79E2">
        <w:rPr>
          <w:sz w:val="22"/>
          <w:szCs w:val="22"/>
        </w:rPr>
        <w:t xml:space="preserve">Title IX grievance process. </w:t>
      </w:r>
    </w:p>
    <w:p w14:paraId="0BAAFD32" w14:textId="501E8374" w:rsidR="00803D6C" w:rsidRPr="00803D6C" w:rsidRDefault="006833D1" w:rsidP="00710842">
      <w:pPr>
        <w:pStyle w:val="ListParagraph"/>
        <w:numPr>
          <w:ilvl w:val="0"/>
          <w:numId w:val="4"/>
        </w:numPr>
        <w:jc w:val="both"/>
        <w:rPr>
          <w:sz w:val="22"/>
          <w:szCs w:val="22"/>
        </w:rPr>
      </w:pPr>
      <w:r>
        <w:rPr>
          <w:sz w:val="22"/>
          <w:szCs w:val="22"/>
        </w:rPr>
        <w:t>Anyone</w:t>
      </w:r>
      <w:r w:rsidR="00803D6C" w:rsidRPr="004A79E2">
        <w:rPr>
          <w:sz w:val="22"/>
          <w:szCs w:val="22"/>
        </w:rPr>
        <w:t xml:space="preserve"> can report a potential violation to the TIXC including </w:t>
      </w:r>
      <w:r>
        <w:rPr>
          <w:sz w:val="22"/>
          <w:szCs w:val="22"/>
        </w:rPr>
        <w:t xml:space="preserve">submitting </w:t>
      </w:r>
      <w:r w:rsidR="00803D6C" w:rsidRPr="004A79E2">
        <w:rPr>
          <w:sz w:val="22"/>
          <w:szCs w:val="22"/>
        </w:rPr>
        <w:t xml:space="preserve">anonymous reports. </w:t>
      </w:r>
    </w:p>
    <w:p w14:paraId="7CBEE739" w14:textId="07D40ED2" w:rsidR="00BB7559" w:rsidRPr="004A79E2" w:rsidRDefault="00BB7559" w:rsidP="00710842">
      <w:pPr>
        <w:pStyle w:val="ListParagraph"/>
        <w:numPr>
          <w:ilvl w:val="0"/>
          <w:numId w:val="4"/>
        </w:numPr>
        <w:jc w:val="both"/>
        <w:rPr>
          <w:sz w:val="22"/>
          <w:szCs w:val="22"/>
        </w:rPr>
      </w:pPr>
      <w:r w:rsidRPr="004A79E2">
        <w:rPr>
          <w:sz w:val="22"/>
          <w:szCs w:val="22"/>
        </w:rPr>
        <w:t>Educational Institutions must comply with the required grievance process when conducting an investigation for complaints that fall under Title IX. For all other sexual misconduct complaints, the College can utilize the process established in the Sexual Harassment and Discrimination Policy</w:t>
      </w:r>
      <w:r w:rsidR="006833D1">
        <w:rPr>
          <w:sz w:val="22"/>
          <w:szCs w:val="22"/>
        </w:rPr>
        <w:t xml:space="preserve"> or other college processes</w:t>
      </w:r>
      <w:r w:rsidRPr="004A79E2">
        <w:rPr>
          <w:sz w:val="22"/>
          <w:szCs w:val="22"/>
        </w:rPr>
        <w:t xml:space="preserve">.  </w:t>
      </w:r>
    </w:p>
    <w:p w14:paraId="681C029C" w14:textId="224E09E6" w:rsidR="00EA2EE4" w:rsidRPr="004A79E2" w:rsidRDefault="00EA2EE4" w:rsidP="00710842">
      <w:pPr>
        <w:pStyle w:val="ListParagraph"/>
        <w:numPr>
          <w:ilvl w:val="0"/>
          <w:numId w:val="4"/>
        </w:numPr>
        <w:jc w:val="both"/>
        <w:rPr>
          <w:sz w:val="22"/>
          <w:szCs w:val="22"/>
        </w:rPr>
      </w:pPr>
      <w:r w:rsidRPr="004A79E2">
        <w:rPr>
          <w:sz w:val="22"/>
          <w:szCs w:val="22"/>
        </w:rPr>
        <w:t>If, after conducting a risk analysis and determining that an accused student poses an immediate threat to the health or safety of a student</w:t>
      </w:r>
      <w:r w:rsidR="006833D1">
        <w:rPr>
          <w:sz w:val="22"/>
          <w:szCs w:val="22"/>
        </w:rPr>
        <w:t xml:space="preserve"> or campus community</w:t>
      </w:r>
      <w:r w:rsidRPr="004A79E2">
        <w:rPr>
          <w:sz w:val="22"/>
          <w:szCs w:val="22"/>
        </w:rPr>
        <w:t xml:space="preserve">, institutions are allowed to remove such a student, provided the student receives notice and an opportunity to respond. </w:t>
      </w:r>
    </w:p>
    <w:p w14:paraId="54466901" w14:textId="1D0367D3" w:rsidR="00EA2EE4" w:rsidRPr="004A79E2" w:rsidRDefault="00EA2EE4" w:rsidP="00710842">
      <w:pPr>
        <w:pStyle w:val="ListParagraph"/>
        <w:numPr>
          <w:ilvl w:val="0"/>
          <w:numId w:val="4"/>
        </w:numPr>
        <w:jc w:val="both"/>
        <w:rPr>
          <w:sz w:val="22"/>
          <w:szCs w:val="22"/>
        </w:rPr>
      </w:pPr>
      <w:r w:rsidRPr="004A79E2">
        <w:rPr>
          <w:sz w:val="22"/>
          <w:szCs w:val="22"/>
        </w:rPr>
        <w:t xml:space="preserve">Educational Institutions are permitted to place accused employees on administrative leave. </w:t>
      </w:r>
    </w:p>
    <w:p w14:paraId="44441FD0" w14:textId="6B1ABA67" w:rsidR="003E451A" w:rsidRPr="004A79E2" w:rsidRDefault="003E451A" w:rsidP="00710842">
      <w:pPr>
        <w:pStyle w:val="ListParagraph"/>
        <w:numPr>
          <w:ilvl w:val="0"/>
          <w:numId w:val="4"/>
        </w:numPr>
        <w:jc w:val="both"/>
        <w:rPr>
          <w:sz w:val="22"/>
          <w:szCs w:val="22"/>
        </w:rPr>
      </w:pPr>
      <w:r w:rsidRPr="004A79E2">
        <w:rPr>
          <w:sz w:val="22"/>
          <w:szCs w:val="22"/>
        </w:rPr>
        <w:t xml:space="preserve">The regulations require grievance procedures to be prompt &amp; equitable, include an objective evaluation of all relevant evidence, conflicts of interest or bias on the part of all Title IX personnel reviewing/handling the complaint. </w:t>
      </w:r>
    </w:p>
    <w:p w14:paraId="48D32E69" w14:textId="5A7A9789" w:rsidR="00B06B78" w:rsidRPr="004A79E2" w:rsidRDefault="00803D6C" w:rsidP="00710842">
      <w:pPr>
        <w:pStyle w:val="ListParagraph"/>
        <w:numPr>
          <w:ilvl w:val="0"/>
          <w:numId w:val="4"/>
        </w:numPr>
        <w:jc w:val="both"/>
        <w:rPr>
          <w:sz w:val="22"/>
          <w:szCs w:val="22"/>
        </w:rPr>
      </w:pPr>
      <w:r>
        <w:rPr>
          <w:sz w:val="22"/>
          <w:szCs w:val="22"/>
        </w:rPr>
        <w:t>The grievance process must r</w:t>
      </w:r>
      <w:r w:rsidR="003E451A" w:rsidRPr="004A79E2">
        <w:rPr>
          <w:sz w:val="22"/>
          <w:szCs w:val="22"/>
        </w:rPr>
        <w:t>ely on training materials that do not promote bias</w:t>
      </w:r>
      <w:r w:rsidR="006833D1">
        <w:rPr>
          <w:sz w:val="22"/>
          <w:szCs w:val="22"/>
        </w:rPr>
        <w:t>.</w:t>
      </w:r>
      <w:r w:rsidR="003E451A" w:rsidRPr="004A79E2">
        <w:rPr>
          <w:sz w:val="22"/>
          <w:szCs w:val="22"/>
        </w:rPr>
        <w:t xml:space="preserve"> </w:t>
      </w:r>
    </w:p>
    <w:p w14:paraId="7260E4AF" w14:textId="54D7162D" w:rsidR="00B06B78" w:rsidRPr="004A79E2" w:rsidRDefault="00803D6C" w:rsidP="00710842">
      <w:pPr>
        <w:pStyle w:val="ListParagraph"/>
        <w:numPr>
          <w:ilvl w:val="0"/>
          <w:numId w:val="4"/>
        </w:numPr>
        <w:jc w:val="both"/>
        <w:rPr>
          <w:sz w:val="22"/>
          <w:szCs w:val="22"/>
        </w:rPr>
      </w:pPr>
      <w:r>
        <w:rPr>
          <w:sz w:val="22"/>
          <w:szCs w:val="22"/>
        </w:rPr>
        <w:t>Educational institutions must p</w:t>
      </w:r>
      <w:r w:rsidR="00B06B78" w:rsidRPr="004A79E2">
        <w:rPr>
          <w:sz w:val="22"/>
          <w:szCs w:val="22"/>
        </w:rPr>
        <w:t>resume the respondent is not responsible</w:t>
      </w:r>
      <w:r w:rsidR="006833D1">
        <w:rPr>
          <w:sz w:val="22"/>
          <w:szCs w:val="22"/>
        </w:rPr>
        <w:t>.</w:t>
      </w:r>
      <w:r w:rsidR="00B06B78" w:rsidRPr="004A79E2">
        <w:rPr>
          <w:sz w:val="22"/>
          <w:szCs w:val="22"/>
        </w:rPr>
        <w:t xml:space="preserve"> </w:t>
      </w:r>
    </w:p>
    <w:p w14:paraId="1494BA96" w14:textId="400682DC" w:rsidR="00B06B78" w:rsidRPr="004A79E2" w:rsidRDefault="00B06B78" w:rsidP="00710842">
      <w:pPr>
        <w:pStyle w:val="ListParagraph"/>
        <w:numPr>
          <w:ilvl w:val="0"/>
          <w:numId w:val="4"/>
        </w:numPr>
        <w:jc w:val="both"/>
        <w:rPr>
          <w:sz w:val="22"/>
          <w:szCs w:val="22"/>
        </w:rPr>
      </w:pPr>
      <w:r w:rsidRPr="004A79E2">
        <w:rPr>
          <w:sz w:val="22"/>
          <w:szCs w:val="22"/>
        </w:rPr>
        <w:t>Allow delays in investigations for good cause</w:t>
      </w:r>
      <w:r w:rsidR="006833D1">
        <w:rPr>
          <w:sz w:val="22"/>
          <w:szCs w:val="22"/>
        </w:rPr>
        <w:t>.</w:t>
      </w:r>
      <w:r w:rsidRPr="004A79E2">
        <w:rPr>
          <w:sz w:val="22"/>
          <w:szCs w:val="22"/>
        </w:rPr>
        <w:t xml:space="preserve"> </w:t>
      </w:r>
    </w:p>
    <w:p w14:paraId="3ED0E244" w14:textId="77777777" w:rsidR="00B06B78" w:rsidRPr="004A79E2" w:rsidRDefault="00B06B78" w:rsidP="00710842">
      <w:pPr>
        <w:pStyle w:val="ListParagraph"/>
        <w:numPr>
          <w:ilvl w:val="0"/>
          <w:numId w:val="4"/>
        </w:numPr>
        <w:jc w:val="both"/>
        <w:rPr>
          <w:sz w:val="22"/>
          <w:szCs w:val="22"/>
        </w:rPr>
      </w:pPr>
      <w:r w:rsidRPr="004A79E2">
        <w:rPr>
          <w:sz w:val="22"/>
          <w:szCs w:val="22"/>
        </w:rPr>
        <w:t xml:space="preserve">Specify the standard of evidence used; Antioch College utilizes the Preponderance of Evidence Standard, also referred to as more likely than not or 50.1%. </w:t>
      </w:r>
    </w:p>
    <w:p w14:paraId="3348F3E7" w14:textId="74F7C3A4" w:rsidR="00B06B78" w:rsidRPr="00803D6C" w:rsidRDefault="00B06B78" w:rsidP="00710842">
      <w:pPr>
        <w:pStyle w:val="ListParagraph"/>
        <w:numPr>
          <w:ilvl w:val="0"/>
          <w:numId w:val="4"/>
        </w:numPr>
        <w:jc w:val="both"/>
        <w:rPr>
          <w:sz w:val="22"/>
          <w:szCs w:val="22"/>
        </w:rPr>
      </w:pPr>
      <w:r w:rsidRPr="004A79E2">
        <w:rPr>
          <w:sz w:val="22"/>
          <w:szCs w:val="22"/>
        </w:rPr>
        <w:t xml:space="preserve">Provide possible sanctions and remedies </w:t>
      </w:r>
      <w:r w:rsidR="00803D6C">
        <w:rPr>
          <w:sz w:val="22"/>
          <w:szCs w:val="22"/>
        </w:rPr>
        <w:t>as well, p</w:t>
      </w:r>
      <w:r w:rsidRPr="00803D6C">
        <w:rPr>
          <w:sz w:val="22"/>
          <w:szCs w:val="22"/>
        </w:rPr>
        <w:t xml:space="preserve">rovide </w:t>
      </w:r>
      <w:r w:rsidR="00181CF7">
        <w:rPr>
          <w:sz w:val="22"/>
          <w:szCs w:val="22"/>
        </w:rPr>
        <w:t xml:space="preserve">the </w:t>
      </w:r>
      <w:r w:rsidRPr="00803D6C">
        <w:rPr>
          <w:sz w:val="22"/>
          <w:szCs w:val="22"/>
        </w:rPr>
        <w:t>procedure for</w:t>
      </w:r>
      <w:r w:rsidR="00803D6C">
        <w:rPr>
          <w:sz w:val="22"/>
          <w:szCs w:val="22"/>
        </w:rPr>
        <w:t xml:space="preserve"> the</w:t>
      </w:r>
      <w:r w:rsidRPr="00803D6C">
        <w:rPr>
          <w:sz w:val="22"/>
          <w:szCs w:val="22"/>
        </w:rPr>
        <w:t xml:space="preserve"> appeals</w:t>
      </w:r>
      <w:r w:rsidR="00803D6C">
        <w:rPr>
          <w:sz w:val="22"/>
          <w:szCs w:val="22"/>
        </w:rPr>
        <w:t xml:space="preserve"> process</w:t>
      </w:r>
      <w:r w:rsidR="006833D1">
        <w:rPr>
          <w:sz w:val="22"/>
          <w:szCs w:val="22"/>
        </w:rPr>
        <w:t>.</w:t>
      </w:r>
      <w:r w:rsidRPr="00803D6C">
        <w:rPr>
          <w:sz w:val="22"/>
          <w:szCs w:val="22"/>
        </w:rPr>
        <w:t xml:space="preserve"> </w:t>
      </w:r>
    </w:p>
    <w:p w14:paraId="7B6DED16" w14:textId="1074ECF3" w:rsidR="003E451A" w:rsidRDefault="00B06B78" w:rsidP="00710842">
      <w:pPr>
        <w:pStyle w:val="ListParagraph"/>
        <w:numPr>
          <w:ilvl w:val="0"/>
          <w:numId w:val="4"/>
        </w:numPr>
        <w:jc w:val="both"/>
        <w:rPr>
          <w:sz w:val="22"/>
          <w:szCs w:val="22"/>
        </w:rPr>
      </w:pPr>
      <w:r w:rsidRPr="004A79E2">
        <w:rPr>
          <w:sz w:val="22"/>
          <w:szCs w:val="22"/>
        </w:rPr>
        <w:t>Preclude the use of questions that would violate a legally recognized privilege unless waived</w:t>
      </w:r>
      <w:r w:rsidR="006833D1">
        <w:rPr>
          <w:sz w:val="22"/>
          <w:szCs w:val="22"/>
        </w:rPr>
        <w:t>, such as medical information</w:t>
      </w:r>
      <w:r w:rsidRPr="004A79E2">
        <w:rPr>
          <w:sz w:val="22"/>
          <w:szCs w:val="22"/>
        </w:rPr>
        <w:t xml:space="preserve">.  </w:t>
      </w:r>
      <w:r w:rsidR="003E451A" w:rsidRPr="004A79E2">
        <w:rPr>
          <w:sz w:val="22"/>
          <w:szCs w:val="22"/>
        </w:rPr>
        <w:t xml:space="preserve"> </w:t>
      </w:r>
    </w:p>
    <w:p w14:paraId="068AC101" w14:textId="6D8663E4" w:rsidR="006833D1" w:rsidRDefault="006833D1" w:rsidP="00710842">
      <w:pPr>
        <w:pStyle w:val="ListParagraph"/>
        <w:numPr>
          <w:ilvl w:val="0"/>
          <w:numId w:val="4"/>
        </w:numPr>
        <w:jc w:val="both"/>
        <w:rPr>
          <w:sz w:val="22"/>
          <w:szCs w:val="22"/>
        </w:rPr>
      </w:pPr>
      <w:r>
        <w:rPr>
          <w:sz w:val="22"/>
          <w:szCs w:val="22"/>
        </w:rPr>
        <w:t xml:space="preserve">The new regulations prohibit all forms of retaliation for anyone going through the Title IX process. </w:t>
      </w:r>
    </w:p>
    <w:p w14:paraId="448C89BE" w14:textId="166D81E1" w:rsidR="00230248" w:rsidRPr="00181CF7" w:rsidRDefault="00230248" w:rsidP="00230248">
      <w:pPr>
        <w:rPr>
          <w:sz w:val="16"/>
          <w:szCs w:val="16"/>
        </w:rPr>
      </w:pPr>
    </w:p>
    <w:p w14:paraId="021C4D03" w14:textId="0B714223" w:rsidR="00230248" w:rsidRPr="009F0DD1" w:rsidRDefault="00230248" w:rsidP="00230248">
      <w:pPr>
        <w:rPr>
          <w:b/>
          <w:bCs/>
          <w:sz w:val="22"/>
          <w:szCs w:val="22"/>
        </w:rPr>
      </w:pPr>
      <w:r w:rsidRPr="009F0DD1">
        <w:rPr>
          <w:b/>
          <w:bCs/>
          <w:sz w:val="22"/>
          <w:szCs w:val="22"/>
        </w:rPr>
        <w:t xml:space="preserve">Investigations: </w:t>
      </w:r>
    </w:p>
    <w:p w14:paraId="3B869947" w14:textId="2A8BCFB2" w:rsidR="00230248" w:rsidRDefault="00230248" w:rsidP="00710842">
      <w:pPr>
        <w:pStyle w:val="ListParagraph"/>
        <w:numPr>
          <w:ilvl w:val="0"/>
          <w:numId w:val="6"/>
        </w:numPr>
        <w:jc w:val="both"/>
        <w:rPr>
          <w:sz w:val="22"/>
          <w:szCs w:val="22"/>
        </w:rPr>
      </w:pPr>
      <w:r>
        <w:rPr>
          <w:sz w:val="22"/>
          <w:szCs w:val="22"/>
        </w:rPr>
        <w:t xml:space="preserve">Schools may dismiss formal complaints if the complainant withdraws the formal complaint, the accused student or employee is no longer affiliated with the institution, or circumstances preclude the institution from gathering sufficient evidence to reach a determination. </w:t>
      </w:r>
    </w:p>
    <w:p w14:paraId="50ABA1FA" w14:textId="243B1119" w:rsidR="00230248" w:rsidRDefault="00230248" w:rsidP="00710842">
      <w:pPr>
        <w:pStyle w:val="ListParagraph"/>
        <w:numPr>
          <w:ilvl w:val="0"/>
          <w:numId w:val="6"/>
        </w:numPr>
        <w:jc w:val="both"/>
        <w:rPr>
          <w:sz w:val="22"/>
          <w:szCs w:val="22"/>
        </w:rPr>
      </w:pPr>
      <w:r>
        <w:rPr>
          <w:sz w:val="22"/>
          <w:szCs w:val="22"/>
        </w:rPr>
        <w:lastRenderedPageBreak/>
        <w:t xml:space="preserve">During investigations, schools must assume the burden of gathering evidence, allow both parties an equal opportunity to present witnesses, provide both parties to be accompanied to proceedings by advisors of their choice, although an advisor’s participation could be limited by the institution. </w:t>
      </w:r>
    </w:p>
    <w:p w14:paraId="090BB72A" w14:textId="21782410" w:rsidR="00230248" w:rsidRDefault="00230248" w:rsidP="00710842">
      <w:pPr>
        <w:pStyle w:val="ListParagraph"/>
        <w:numPr>
          <w:ilvl w:val="0"/>
          <w:numId w:val="6"/>
        </w:numPr>
        <w:jc w:val="both"/>
        <w:rPr>
          <w:sz w:val="22"/>
          <w:szCs w:val="22"/>
        </w:rPr>
      </w:pPr>
      <w:r>
        <w:rPr>
          <w:sz w:val="22"/>
          <w:szCs w:val="22"/>
        </w:rPr>
        <w:t>Provide written notice and sufficient preparation time for all meetings throughout the grievance process, provide equal access and opportunity for both parties to evidence and an opportunity to respond</w:t>
      </w:r>
      <w:r w:rsidR="00351968">
        <w:rPr>
          <w:sz w:val="22"/>
          <w:szCs w:val="22"/>
        </w:rPr>
        <w:t>.</w:t>
      </w:r>
    </w:p>
    <w:p w14:paraId="77763A34" w14:textId="2C143EC8" w:rsidR="00230248" w:rsidRDefault="00230248" w:rsidP="00230248">
      <w:pPr>
        <w:pStyle w:val="ListParagraph"/>
        <w:numPr>
          <w:ilvl w:val="0"/>
          <w:numId w:val="6"/>
        </w:numPr>
        <w:rPr>
          <w:sz w:val="22"/>
          <w:szCs w:val="22"/>
        </w:rPr>
      </w:pPr>
      <w:r>
        <w:rPr>
          <w:sz w:val="22"/>
          <w:szCs w:val="22"/>
        </w:rPr>
        <w:t>Schools must disclose all requested evidence even if it isn’t used in reaching a final outcome</w:t>
      </w:r>
      <w:r w:rsidR="0049068E">
        <w:rPr>
          <w:sz w:val="22"/>
          <w:szCs w:val="22"/>
        </w:rPr>
        <w:t>, as well produce an investigative report to be provided to both parties to review and respond</w:t>
      </w:r>
      <w:r w:rsidR="006833D1">
        <w:rPr>
          <w:sz w:val="22"/>
          <w:szCs w:val="22"/>
        </w:rPr>
        <w:t>.</w:t>
      </w:r>
    </w:p>
    <w:p w14:paraId="5650C65F" w14:textId="77777777" w:rsidR="0049068E" w:rsidRPr="00181CF7" w:rsidRDefault="0049068E" w:rsidP="006833D1">
      <w:pPr>
        <w:ind w:left="360"/>
        <w:rPr>
          <w:sz w:val="16"/>
          <w:szCs w:val="16"/>
        </w:rPr>
      </w:pPr>
    </w:p>
    <w:p w14:paraId="3E3E1A07" w14:textId="73D70E9D" w:rsidR="0049068E" w:rsidRDefault="0049068E" w:rsidP="0049068E">
      <w:pPr>
        <w:rPr>
          <w:b/>
          <w:bCs/>
          <w:sz w:val="22"/>
          <w:szCs w:val="22"/>
        </w:rPr>
      </w:pPr>
      <w:r w:rsidRPr="0049068E">
        <w:rPr>
          <w:b/>
          <w:bCs/>
          <w:sz w:val="22"/>
          <w:szCs w:val="22"/>
        </w:rPr>
        <w:t xml:space="preserve">Hearings: </w:t>
      </w:r>
    </w:p>
    <w:p w14:paraId="1C5890A7" w14:textId="2A44F94F" w:rsidR="0049068E" w:rsidRPr="0049068E" w:rsidRDefault="0049068E" w:rsidP="0049068E">
      <w:pPr>
        <w:pStyle w:val="ListParagraph"/>
        <w:numPr>
          <w:ilvl w:val="0"/>
          <w:numId w:val="7"/>
        </w:numPr>
        <w:rPr>
          <w:b/>
          <w:bCs/>
          <w:sz w:val="22"/>
          <w:szCs w:val="22"/>
        </w:rPr>
      </w:pPr>
      <w:r>
        <w:rPr>
          <w:sz w:val="22"/>
          <w:szCs w:val="22"/>
        </w:rPr>
        <w:t xml:space="preserve">Institutions are required to provide for a live hearing and to allow advisors for both parties to ask relevant questions and cross-examine other parties and witnesses. </w:t>
      </w:r>
    </w:p>
    <w:p w14:paraId="32D0DF48" w14:textId="3FDDCE2C" w:rsidR="0049068E" w:rsidRPr="0049068E" w:rsidRDefault="0049068E" w:rsidP="0049068E">
      <w:pPr>
        <w:pStyle w:val="ListParagraph"/>
        <w:numPr>
          <w:ilvl w:val="0"/>
          <w:numId w:val="7"/>
        </w:numPr>
        <w:rPr>
          <w:b/>
          <w:bCs/>
          <w:sz w:val="22"/>
          <w:szCs w:val="22"/>
        </w:rPr>
      </w:pPr>
      <w:r>
        <w:rPr>
          <w:sz w:val="22"/>
          <w:szCs w:val="22"/>
        </w:rPr>
        <w:t xml:space="preserve">Cross-examination does not happen by individual parties, but by their advisors of choice. </w:t>
      </w:r>
    </w:p>
    <w:p w14:paraId="3B3B45CD" w14:textId="0113F7F8" w:rsidR="0049068E" w:rsidRPr="0049068E" w:rsidRDefault="0049068E" w:rsidP="0049068E">
      <w:pPr>
        <w:pStyle w:val="ListParagraph"/>
        <w:numPr>
          <w:ilvl w:val="0"/>
          <w:numId w:val="7"/>
        </w:numPr>
        <w:rPr>
          <w:b/>
          <w:bCs/>
          <w:sz w:val="22"/>
          <w:szCs w:val="22"/>
        </w:rPr>
      </w:pPr>
      <w:r>
        <w:rPr>
          <w:sz w:val="22"/>
          <w:szCs w:val="22"/>
        </w:rPr>
        <w:t xml:space="preserve">If a student does not have an advisor, the school must </w:t>
      </w:r>
      <w:r w:rsidR="00471811">
        <w:rPr>
          <w:sz w:val="22"/>
          <w:szCs w:val="22"/>
        </w:rPr>
        <w:t>provide</w:t>
      </w:r>
      <w:r>
        <w:rPr>
          <w:sz w:val="22"/>
          <w:szCs w:val="22"/>
        </w:rPr>
        <w:t xml:space="preserve"> one for them</w:t>
      </w:r>
      <w:r w:rsidR="006833D1">
        <w:rPr>
          <w:sz w:val="22"/>
          <w:szCs w:val="22"/>
        </w:rPr>
        <w:t>.</w:t>
      </w:r>
    </w:p>
    <w:p w14:paraId="0D7229A9" w14:textId="190C4917" w:rsidR="0049068E" w:rsidRPr="0049068E" w:rsidRDefault="0049068E" w:rsidP="0049068E">
      <w:pPr>
        <w:pStyle w:val="ListParagraph"/>
        <w:numPr>
          <w:ilvl w:val="0"/>
          <w:numId w:val="7"/>
        </w:numPr>
        <w:rPr>
          <w:b/>
          <w:bCs/>
          <w:sz w:val="22"/>
          <w:szCs w:val="22"/>
        </w:rPr>
      </w:pPr>
      <w:r>
        <w:rPr>
          <w:sz w:val="22"/>
          <w:szCs w:val="22"/>
        </w:rPr>
        <w:t>Relevant questions only are permitted during the hearing as deemed appropriate by the Chair of the hearing</w:t>
      </w:r>
      <w:r w:rsidR="00351968">
        <w:rPr>
          <w:sz w:val="22"/>
          <w:szCs w:val="22"/>
        </w:rPr>
        <w:t>.</w:t>
      </w:r>
      <w:r>
        <w:rPr>
          <w:sz w:val="22"/>
          <w:szCs w:val="22"/>
        </w:rPr>
        <w:t xml:space="preserve"> </w:t>
      </w:r>
    </w:p>
    <w:p w14:paraId="352DEFD2" w14:textId="5D73925B" w:rsidR="0049068E" w:rsidRPr="0049068E" w:rsidRDefault="0049068E" w:rsidP="0049068E">
      <w:pPr>
        <w:pStyle w:val="ListParagraph"/>
        <w:numPr>
          <w:ilvl w:val="0"/>
          <w:numId w:val="7"/>
        </w:numPr>
        <w:rPr>
          <w:b/>
          <w:bCs/>
          <w:sz w:val="22"/>
          <w:szCs w:val="22"/>
        </w:rPr>
      </w:pPr>
      <w:r>
        <w:rPr>
          <w:sz w:val="22"/>
          <w:szCs w:val="22"/>
        </w:rPr>
        <w:t xml:space="preserve">Institutions are not allowed to rely on statements made by a party or witness who does not submit to cross-examination, or failure to appear. </w:t>
      </w:r>
    </w:p>
    <w:p w14:paraId="35C29A3B" w14:textId="7E4257FA" w:rsidR="0049068E" w:rsidRPr="0049068E" w:rsidRDefault="0049068E" w:rsidP="0049068E">
      <w:pPr>
        <w:pStyle w:val="ListParagraph"/>
        <w:numPr>
          <w:ilvl w:val="0"/>
          <w:numId w:val="7"/>
        </w:numPr>
        <w:rPr>
          <w:b/>
          <w:bCs/>
          <w:sz w:val="22"/>
          <w:szCs w:val="22"/>
        </w:rPr>
      </w:pPr>
      <w:r>
        <w:rPr>
          <w:sz w:val="22"/>
          <w:szCs w:val="22"/>
        </w:rPr>
        <w:t xml:space="preserve">Institutions must create an audio recording or transcript of the live hearing and make it available to the parties. </w:t>
      </w:r>
    </w:p>
    <w:p w14:paraId="52361D30" w14:textId="3C463226" w:rsidR="0049068E" w:rsidRPr="0049068E" w:rsidRDefault="0049068E" w:rsidP="0049068E">
      <w:pPr>
        <w:pStyle w:val="ListParagraph"/>
        <w:numPr>
          <w:ilvl w:val="0"/>
          <w:numId w:val="7"/>
        </w:numPr>
        <w:rPr>
          <w:b/>
          <w:bCs/>
          <w:sz w:val="22"/>
          <w:szCs w:val="22"/>
        </w:rPr>
      </w:pPr>
      <w:r>
        <w:rPr>
          <w:sz w:val="22"/>
          <w:szCs w:val="22"/>
        </w:rPr>
        <w:t xml:space="preserve">The decision-maker who cannot be the Title IX Coordinator or Investigator, must issue a written determination regarding responsibility. </w:t>
      </w:r>
    </w:p>
    <w:p w14:paraId="6BFEA409" w14:textId="5DD288DF" w:rsidR="0049068E" w:rsidRPr="0049068E" w:rsidRDefault="0049068E" w:rsidP="0049068E">
      <w:pPr>
        <w:pStyle w:val="ListParagraph"/>
        <w:numPr>
          <w:ilvl w:val="0"/>
          <w:numId w:val="7"/>
        </w:numPr>
        <w:rPr>
          <w:b/>
          <w:bCs/>
          <w:sz w:val="22"/>
          <w:szCs w:val="22"/>
        </w:rPr>
      </w:pPr>
      <w:r>
        <w:rPr>
          <w:sz w:val="22"/>
          <w:szCs w:val="22"/>
        </w:rPr>
        <w:t xml:space="preserve">Institutions must maintain complete records about all investigations, appeals, informal resolutions, training materials, and supportive measures for 7 years. </w:t>
      </w:r>
    </w:p>
    <w:p w14:paraId="70D9BDDB" w14:textId="77777777" w:rsidR="0049068E" w:rsidRPr="00181CF7" w:rsidRDefault="0049068E" w:rsidP="0049068E">
      <w:pPr>
        <w:pStyle w:val="ListParagraph"/>
        <w:rPr>
          <w:b/>
          <w:bCs/>
          <w:sz w:val="20"/>
          <w:szCs w:val="20"/>
        </w:rPr>
      </w:pPr>
    </w:p>
    <w:p w14:paraId="467C42E1" w14:textId="1DBE6533" w:rsidR="0049068E" w:rsidRDefault="0049068E" w:rsidP="0049068E">
      <w:pPr>
        <w:rPr>
          <w:b/>
          <w:bCs/>
          <w:sz w:val="22"/>
          <w:szCs w:val="22"/>
        </w:rPr>
      </w:pPr>
      <w:r>
        <w:rPr>
          <w:b/>
          <w:bCs/>
          <w:sz w:val="22"/>
          <w:szCs w:val="22"/>
        </w:rPr>
        <w:t>Appeals and Informal Resolution:</w:t>
      </w:r>
    </w:p>
    <w:p w14:paraId="2C3D20AF" w14:textId="357A0CA4" w:rsidR="0049068E" w:rsidRDefault="0049068E" w:rsidP="0049068E">
      <w:pPr>
        <w:pStyle w:val="ListParagraph"/>
        <w:numPr>
          <w:ilvl w:val="0"/>
          <w:numId w:val="8"/>
        </w:numPr>
        <w:rPr>
          <w:sz w:val="22"/>
          <w:szCs w:val="22"/>
        </w:rPr>
      </w:pPr>
      <w:r w:rsidRPr="0049068E">
        <w:rPr>
          <w:sz w:val="22"/>
          <w:szCs w:val="22"/>
        </w:rPr>
        <w:t xml:space="preserve">Schools </w:t>
      </w:r>
      <w:r>
        <w:rPr>
          <w:sz w:val="22"/>
          <w:szCs w:val="22"/>
        </w:rPr>
        <w:t xml:space="preserve">must offer appeals </w:t>
      </w:r>
      <w:r w:rsidR="006833D1">
        <w:rPr>
          <w:sz w:val="22"/>
          <w:szCs w:val="22"/>
        </w:rPr>
        <w:t>procedures to</w:t>
      </w:r>
      <w:r w:rsidR="00471811">
        <w:rPr>
          <w:sz w:val="22"/>
          <w:szCs w:val="22"/>
        </w:rPr>
        <w:t xml:space="preserve"> both parties on the basis of procedural irregularities, new evidence, or any bias or conflict of interest on the part of the TIXC, investigator, or decision maker(s) </w:t>
      </w:r>
    </w:p>
    <w:p w14:paraId="5E5FCCDF" w14:textId="77777777" w:rsidR="00181CF7" w:rsidRPr="0049068E" w:rsidRDefault="00471811" w:rsidP="00181CF7">
      <w:pPr>
        <w:pStyle w:val="ListParagraph"/>
        <w:numPr>
          <w:ilvl w:val="0"/>
          <w:numId w:val="8"/>
        </w:numPr>
        <w:rPr>
          <w:sz w:val="22"/>
          <w:szCs w:val="22"/>
        </w:rPr>
      </w:pPr>
      <w:r>
        <w:rPr>
          <w:sz w:val="22"/>
          <w:szCs w:val="22"/>
        </w:rPr>
        <w:t xml:space="preserve">Institutions can offer informal resolutions for complaints, but before engaging in any informal resolution process, both parties must voluntarily agree to informal resolutions in the form of written consent. </w:t>
      </w:r>
      <w:r w:rsidR="00181CF7">
        <w:rPr>
          <w:sz w:val="22"/>
          <w:szCs w:val="22"/>
        </w:rPr>
        <w:t xml:space="preserve">Informal resolutions cannot be used to resolve allegations where an employee sexually harassed a student. </w:t>
      </w:r>
    </w:p>
    <w:p w14:paraId="5A2D766C" w14:textId="1C4362CD" w:rsidR="00471811" w:rsidRDefault="00471811" w:rsidP="00181CF7">
      <w:pPr>
        <w:pStyle w:val="ListParagraph"/>
        <w:rPr>
          <w:sz w:val="22"/>
          <w:szCs w:val="22"/>
        </w:rPr>
      </w:pPr>
    </w:p>
    <w:p w14:paraId="2B087A22" w14:textId="25E34B5D" w:rsidR="000C1906" w:rsidRPr="004A79E2" w:rsidRDefault="000C1906" w:rsidP="000C1906">
      <w:pPr>
        <w:jc w:val="center"/>
        <w:rPr>
          <w:sz w:val="22"/>
          <w:szCs w:val="22"/>
        </w:rPr>
      </w:pPr>
    </w:p>
    <w:p w14:paraId="273FB706" w14:textId="77777777" w:rsidR="000C1906" w:rsidRPr="004A79E2" w:rsidRDefault="000C1906" w:rsidP="000C1906">
      <w:pPr>
        <w:rPr>
          <w:sz w:val="22"/>
          <w:szCs w:val="22"/>
        </w:rPr>
      </w:pPr>
    </w:p>
    <w:sectPr w:rsidR="000C1906" w:rsidRPr="004A79E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9404" w14:textId="77777777" w:rsidR="008425E5" w:rsidRDefault="008425E5" w:rsidP="000C1906">
      <w:r>
        <w:separator/>
      </w:r>
    </w:p>
  </w:endnote>
  <w:endnote w:type="continuationSeparator" w:id="0">
    <w:p w14:paraId="3CF274A7" w14:textId="77777777" w:rsidR="008425E5" w:rsidRDefault="008425E5" w:rsidP="000C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4227250"/>
      <w:docPartObj>
        <w:docPartGallery w:val="Page Numbers (Bottom of Page)"/>
        <w:docPartUnique/>
      </w:docPartObj>
    </w:sdtPr>
    <w:sdtEndPr>
      <w:rPr>
        <w:rStyle w:val="PageNumber"/>
      </w:rPr>
    </w:sdtEndPr>
    <w:sdtContent>
      <w:p w14:paraId="2BDD2104" w14:textId="39E71A05" w:rsidR="004A79E2" w:rsidRDefault="004A79E2" w:rsidP="00B77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F7235" w14:textId="77777777" w:rsidR="004A79E2" w:rsidRDefault="004A7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590683"/>
      <w:docPartObj>
        <w:docPartGallery w:val="Page Numbers (Bottom of Page)"/>
        <w:docPartUnique/>
      </w:docPartObj>
    </w:sdtPr>
    <w:sdtEndPr>
      <w:rPr>
        <w:rStyle w:val="PageNumber"/>
      </w:rPr>
    </w:sdtEndPr>
    <w:sdtContent>
      <w:p w14:paraId="745832BE" w14:textId="0E19864A" w:rsidR="004A79E2" w:rsidRDefault="004A79E2" w:rsidP="00B77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90397" w14:textId="77777777" w:rsidR="006833D1" w:rsidRDefault="006833D1">
    <w:pPr>
      <w:pStyle w:val="Footer"/>
      <w:rPr>
        <w:b/>
        <w:bCs/>
        <w:sz w:val="16"/>
        <w:szCs w:val="16"/>
      </w:rPr>
    </w:pPr>
  </w:p>
  <w:p w14:paraId="61B63B25" w14:textId="4AAA99BF" w:rsidR="006833D1" w:rsidRPr="006833D1" w:rsidRDefault="006833D1">
    <w:pPr>
      <w:pStyle w:val="Footer"/>
      <w:rPr>
        <w:b/>
        <w:bCs/>
        <w:sz w:val="15"/>
        <w:szCs w:val="15"/>
      </w:rPr>
    </w:pPr>
    <w:r w:rsidRPr="006833D1">
      <w:rPr>
        <w:b/>
        <w:bCs/>
        <w:sz w:val="15"/>
        <w:szCs w:val="15"/>
      </w:rPr>
      <w:t xml:space="preserve">Regulations Information adapted and sourced from: </w:t>
    </w:r>
  </w:p>
  <w:p w14:paraId="0B526E25" w14:textId="77668AC4" w:rsidR="004A79E2" w:rsidRPr="006833D1" w:rsidRDefault="006833D1">
    <w:pPr>
      <w:pStyle w:val="Footer"/>
      <w:rPr>
        <w:sz w:val="15"/>
        <w:szCs w:val="15"/>
      </w:rPr>
    </w:pPr>
    <w:r w:rsidRPr="006833D1">
      <w:rPr>
        <w:sz w:val="15"/>
        <w:szCs w:val="15"/>
      </w:rPr>
      <w:t xml:space="preserve">NAICU Technical Summary of Final Title IX Rules: </w:t>
    </w:r>
    <w:hyperlink r:id="rId1" w:history="1">
      <w:r w:rsidRPr="006833D1">
        <w:rPr>
          <w:rStyle w:val="Hyperlink"/>
          <w:sz w:val="15"/>
          <w:szCs w:val="15"/>
        </w:rPr>
        <w:t>https://bit.ly/2NoM2qx</w:t>
      </w:r>
    </w:hyperlink>
    <w:r w:rsidRPr="006833D1">
      <w:rPr>
        <w:sz w:val="15"/>
        <w:szCs w:val="15"/>
      </w:rPr>
      <w:t xml:space="preserve"> </w:t>
    </w:r>
  </w:p>
  <w:p w14:paraId="33E67C63" w14:textId="1A86050C" w:rsidR="006833D1" w:rsidRPr="006833D1" w:rsidRDefault="006833D1">
    <w:pPr>
      <w:pStyle w:val="Footer"/>
      <w:rPr>
        <w:sz w:val="15"/>
        <w:szCs w:val="15"/>
      </w:rPr>
    </w:pPr>
    <w:r w:rsidRPr="006833D1">
      <w:rPr>
        <w:sz w:val="15"/>
        <w:szCs w:val="15"/>
      </w:rPr>
      <w:t xml:space="preserve">U.S. Department of Education, The Handbook for Campus Safety and Security: </w:t>
    </w:r>
    <w:hyperlink r:id="rId2" w:history="1">
      <w:r w:rsidRPr="006833D1">
        <w:rPr>
          <w:rStyle w:val="Hyperlink"/>
          <w:sz w:val="15"/>
          <w:szCs w:val="15"/>
        </w:rPr>
        <w:t>https://bit.ly/316YFyE</w:t>
      </w:r>
    </w:hyperlink>
  </w:p>
  <w:p w14:paraId="76A2FF16" w14:textId="62DCB5EA" w:rsidR="006833D1" w:rsidRPr="006833D1" w:rsidRDefault="006833D1">
    <w:pPr>
      <w:pStyle w:val="Footer"/>
      <w:rPr>
        <w:sz w:val="15"/>
        <w:szCs w:val="15"/>
      </w:rPr>
    </w:pPr>
    <w:r w:rsidRPr="006833D1">
      <w:rPr>
        <w:sz w:val="15"/>
        <w:szCs w:val="15"/>
      </w:rPr>
      <w:t xml:space="preserve">U.S. Department of Education Title IX Final Rule Overview: </w:t>
    </w:r>
    <w:hyperlink r:id="rId3" w:anchor="search/department+of+education+final+rule?compose=XBcJlFTQXJJRqQPBvNrfXFScVNPXWMmRBDGNHBxxbGPHqWfzPFXbqbZptjmHCtpxtQrhvPSCNRBWRrtv&amp;projector=1" w:history="1">
      <w:r w:rsidRPr="006833D1">
        <w:rPr>
          <w:rStyle w:val="Hyperlink"/>
          <w:sz w:val="15"/>
          <w:szCs w:val="15"/>
        </w:rPr>
        <w:t>https://mail.google.com/mail/u/0/#search/department+of+education+final+rule?compose=XBcJlFTQXJJRqQPBvNrfXFScVNPXWMmRBDGNHBxxbGPHqWfzPFXbqbZptjmHCtpxtQrhvPSCNRBWRrtv&amp;projector=1</w:t>
      </w:r>
    </w:hyperlink>
    <w:r w:rsidRPr="006833D1">
      <w:rPr>
        <w:sz w:val="15"/>
        <w:szCs w:val="15"/>
      </w:rPr>
      <w:t xml:space="preserve"> </w:t>
    </w:r>
  </w:p>
  <w:p w14:paraId="2BBF6155" w14:textId="51941C4A" w:rsidR="006833D1" w:rsidRPr="006833D1" w:rsidRDefault="006833D1">
    <w:pPr>
      <w:pStyle w:val="Footer"/>
      <w:rPr>
        <w:sz w:val="15"/>
        <w:szCs w:val="15"/>
      </w:rPr>
    </w:pPr>
    <w:r w:rsidRPr="006833D1">
      <w:rPr>
        <w:sz w:val="15"/>
        <w:szCs w:val="15"/>
      </w:rPr>
      <w:t xml:space="preserve">Summary of Major Provisions of the Department of Education’s Title IX Final Rules: </w:t>
    </w:r>
    <w:hyperlink r:id="rId4" w:anchor="search/department+of+education+final+rule?compose=XBcJlFTQXJJRqQPBvNrfXFScVNPXWMmRBDGNHBxxbGPHqWfzPFXbqbZptjmHCtpxtQrhvPSCNRBWRrtv&amp;projector=1" w:history="1">
      <w:r w:rsidRPr="006833D1">
        <w:rPr>
          <w:rStyle w:val="Hyperlink"/>
          <w:sz w:val="15"/>
          <w:szCs w:val="15"/>
        </w:rPr>
        <w:t>https://mail.google.com/mail/u/0/#search/department+of+education+final+rule?compose=XBcJlFTQXJJRqQPBvNrfXFScVNPXWMmRBDGNHBxxbGPHqWfzPFXbqbZptjmHCtpxtQrhvPSCNRBWRrtv&amp;projector=1</w:t>
      </w:r>
    </w:hyperlink>
    <w:r w:rsidRPr="006833D1">
      <w:rPr>
        <w:sz w:val="15"/>
        <w:szCs w:val="15"/>
      </w:rPr>
      <w:t xml:space="preserve"> </w:t>
    </w:r>
  </w:p>
  <w:p w14:paraId="4993FCD4" w14:textId="374D51CA" w:rsidR="006833D1" w:rsidRPr="00181CF7" w:rsidRDefault="00181CF7">
    <w:pPr>
      <w:pStyle w:val="Footer"/>
      <w:rPr>
        <w:sz w:val="15"/>
        <w:szCs w:val="15"/>
      </w:rPr>
    </w:pPr>
    <w:r w:rsidRPr="00181CF7">
      <w:rPr>
        <w:sz w:val="15"/>
        <w:szCs w:val="15"/>
      </w:rPr>
      <w:t xml:space="preserve">ATIXA: </w:t>
    </w:r>
    <w:hyperlink r:id="rId5" w:history="1">
      <w:r w:rsidRPr="00181CF7">
        <w:rPr>
          <w:rStyle w:val="Hyperlink"/>
          <w:sz w:val="15"/>
          <w:szCs w:val="15"/>
        </w:rPr>
        <w:t>www.atixa.org</w:t>
      </w:r>
    </w:hyperlink>
    <w:r w:rsidRPr="00181CF7">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C6DCB" w14:textId="77777777" w:rsidR="008425E5" w:rsidRDefault="008425E5" w:rsidP="000C1906">
      <w:r>
        <w:separator/>
      </w:r>
    </w:p>
  </w:footnote>
  <w:footnote w:type="continuationSeparator" w:id="0">
    <w:p w14:paraId="6B3E6855" w14:textId="77777777" w:rsidR="008425E5" w:rsidRDefault="008425E5" w:rsidP="000C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2A78" w14:textId="211ABDB9" w:rsidR="004A3340" w:rsidRPr="004A79E2" w:rsidRDefault="004A3340" w:rsidP="004A3340">
    <w:pPr>
      <w:pStyle w:val="Header"/>
      <w:ind w:left="720"/>
      <w:jc w:val="center"/>
      <w:rPr>
        <w:sz w:val="22"/>
        <w:szCs w:val="22"/>
      </w:rPr>
    </w:pPr>
    <w:r w:rsidRPr="004A79E2">
      <w:rPr>
        <w:noProof/>
        <w:sz w:val="22"/>
        <w:szCs w:val="22"/>
      </w:rPr>
      <w:drawing>
        <wp:anchor distT="0" distB="0" distL="114300" distR="114300" simplePos="0" relativeHeight="251658240" behindDoc="1" locked="0" layoutInCell="1" allowOverlap="1" wp14:anchorId="6355EA1F" wp14:editId="714BA730">
          <wp:simplePos x="0" y="0"/>
          <wp:positionH relativeFrom="column">
            <wp:posOffset>-893134</wp:posOffset>
          </wp:positionH>
          <wp:positionV relativeFrom="paragraph">
            <wp:posOffset>-404037</wp:posOffset>
          </wp:positionV>
          <wp:extent cx="1222744" cy="13106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65" cy="1319095"/>
                  </a:xfrm>
                  <a:prstGeom prst="rect">
                    <a:avLst/>
                  </a:prstGeom>
                </pic:spPr>
              </pic:pic>
            </a:graphicData>
          </a:graphic>
          <wp14:sizeRelH relativeFrom="page">
            <wp14:pctWidth>0</wp14:pctWidth>
          </wp14:sizeRelH>
          <wp14:sizeRelV relativeFrom="page">
            <wp14:pctHeight>0</wp14:pctHeight>
          </wp14:sizeRelV>
        </wp:anchor>
      </w:drawing>
    </w:r>
    <w:r w:rsidRPr="004A3340">
      <w:rPr>
        <w:sz w:val="22"/>
        <w:szCs w:val="22"/>
      </w:rPr>
      <w:t>“No person in the United States shall, on the basis of sex, be excluded from participation in, be denied the benefits of, or be subjected to discrimination under any educational program or activity receiving federal financial assistance.”</w:t>
    </w:r>
  </w:p>
  <w:p w14:paraId="3614ABD2" w14:textId="77777777" w:rsidR="004A3340" w:rsidRPr="004A79E2" w:rsidRDefault="004A3340" w:rsidP="004A3340">
    <w:pPr>
      <w:pStyle w:val="Header"/>
      <w:ind w:left="720"/>
      <w:rPr>
        <w:sz w:val="15"/>
        <w:szCs w:val="15"/>
      </w:rPr>
    </w:pPr>
  </w:p>
  <w:p w14:paraId="61EB3FE0" w14:textId="5F3DD10D" w:rsidR="004A3340" w:rsidRPr="004A79E2" w:rsidRDefault="004A3340" w:rsidP="004A3340">
    <w:pPr>
      <w:pStyle w:val="Header"/>
      <w:ind w:left="720"/>
      <w:jc w:val="center"/>
      <w:rPr>
        <w:i/>
        <w:iCs/>
        <w:sz w:val="22"/>
        <w:szCs w:val="22"/>
      </w:rPr>
    </w:pPr>
    <w:r w:rsidRPr="004A3340">
      <w:rPr>
        <w:i/>
        <w:iCs/>
        <w:sz w:val="22"/>
        <w:szCs w:val="22"/>
      </w:rPr>
      <w:t>– Title IX of the Education Amendments of 1972 Implementing Regulations at: 20 U.S.C. § 1681 &amp; 34 C.F.R. PART 106</w:t>
    </w:r>
  </w:p>
  <w:p w14:paraId="6189D848" w14:textId="003B25F7" w:rsidR="004A3340" w:rsidRPr="004A79E2" w:rsidRDefault="004A3340" w:rsidP="004A3340">
    <w:pPr>
      <w:pStyle w:val="Header"/>
      <w:ind w:left="720"/>
      <w:jc w:val="center"/>
      <w:rPr>
        <w:i/>
        <w:iCs/>
        <w:sz w:val="15"/>
        <w:szCs w:val="15"/>
      </w:rPr>
    </w:pPr>
  </w:p>
  <w:p w14:paraId="50BECE8C" w14:textId="77777777" w:rsidR="00FE2FAA" w:rsidRPr="004A79E2" w:rsidRDefault="00FE2FAA" w:rsidP="00FE2FAA">
    <w:pPr>
      <w:jc w:val="center"/>
      <w:rPr>
        <w:b/>
        <w:bCs/>
        <w:sz w:val="22"/>
        <w:szCs w:val="22"/>
      </w:rPr>
    </w:pPr>
    <w:r w:rsidRPr="004A79E2">
      <w:rPr>
        <w:b/>
        <w:bCs/>
        <w:sz w:val="22"/>
        <w:szCs w:val="22"/>
      </w:rPr>
      <w:t>Title IX: 2020 New Regulations</w:t>
    </w:r>
  </w:p>
  <w:p w14:paraId="657C8426" w14:textId="6716FCFB" w:rsidR="000C1906" w:rsidRPr="004A79E2" w:rsidRDefault="00FE2FAA" w:rsidP="004A79E2">
    <w:pPr>
      <w:jc w:val="center"/>
      <w:rPr>
        <w:b/>
        <w:bCs/>
        <w:sz w:val="22"/>
        <w:szCs w:val="22"/>
      </w:rPr>
    </w:pPr>
    <w:r w:rsidRPr="004A79E2">
      <w:rPr>
        <w:b/>
        <w:bCs/>
        <w:sz w:val="22"/>
        <w:szCs w:val="22"/>
      </w:rPr>
      <w:t>At-</w:t>
    </w:r>
    <w:r w:rsidR="004A79E2">
      <w:rPr>
        <w:b/>
        <w:bCs/>
        <w:sz w:val="22"/>
        <w:szCs w:val="22"/>
      </w:rPr>
      <w:t>A</w:t>
    </w:r>
    <w:r w:rsidRPr="004A79E2">
      <w:rPr>
        <w:b/>
        <w:bCs/>
        <w:sz w:val="22"/>
        <w:szCs w:val="22"/>
      </w:rPr>
      <w:t>-Glance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0BBB"/>
    <w:multiLevelType w:val="hybridMultilevel"/>
    <w:tmpl w:val="6BA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26CE"/>
    <w:multiLevelType w:val="hybridMultilevel"/>
    <w:tmpl w:val="B07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C5313"/>
    <w:multiLevelType w:val="hybridMultilevel"/>
    <w:tmpl w:val="2B6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B7D0F"/>
    <w:multiLevelType w:val="hybridMultilevel"/>
    <w:tmpl w:val="D8D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C2FE2"/>
    <w:multiLevelType w:val="hybridMultilevel"/>
    <w:tmpl w:val="6A220EBC"/>
    <w:lvl w:ilvl="0" w:tplc="B2D65E48">
      <w:start w:val="1"/>
      <w:numFmt w:val="bullet"/>
      <w:lvlText w:val="•"/>
      <w:lvlJc w:val="left"/>
      <w:pPr>
        <w:tabs>
          <w:tab w:val="num" w:pos="720"/>
        </w:tabs>
        <w:ind w:left="720" w:hanging="360"/>
      </w:pPr>
      <w:rPr>
        <w:rFonts w:ascii="Arial" w:hAnsi="Arial" w:hint="default"/>
      </w:rPr>
    </w:lvl>
    <w:lvl w:ilvl="1" w:tplc="7AE8B74A" w:tentative="1">
      <w:start w:val="1"/>
      <w:numFmt w:val="bullet"/>
      <w:lvlText w:val="•"/>
      <w:lvlJc w:val="left"/>
      <w:pPr>
        <w:tabs>
          <w:tab w:val="num" w:pos="1440"/>
        </w:tabs>
        <w:ind w:left="1440" w:hanging="360"/>
      </w:pPr>
      <w:rPr>
        <w:rFonts w:ascii="Arial" w:hAnsi="Arial" w:hint="default"/>
      </w:rPr>
    </w:lvl>
    <w:lvl w:ilvl="2" w:tplc="22068EA2" w:tentative="1">
      <w:start w:val="1"/>
      <w:numFmt w:val="bullet"/>
      <w:lvlText w:val="•"/>
      <w:lvlJc w:val="left"/>
      <w:pPr>
        <w:tabs>
          <w:tab w:val="num" w:pos="2160"/>
        </w:tabs>
        <w:ind w:left="2160" w:hanging="360"/>
      </w:pPr>
      <w:rPr>
        <w:rFonts w:ascii="Arial" w:hAnsi="Arial" w:hint="default"/>
      </w:rPr>
    </w:lvl>
    <w:lvl w:ilvl="3" w:tplc="53B2680C" w:tentative="1">
      <w:start w:val="1"/>
      <w:numFmt w:val="bullet"/>
      <w:lvlText w:val="•"/>
      <w:lvlJc w:val="left"/>
      <w:pPr>
        <w:tabs>
          <w:tab w:val="num" w:pos="2880"/>
        </w:tabs>
        <w:ind w:left="2880" w:hanging="360"/>
      </w:pPr>
      <w:rPr>
        <w:rFonts w:ascii="Arial" w:hAnsi="Arial" w:hint="default"/>
      </w:rPr>
    </w:lvl>
    <w:lvl w:ilvl="4" w:tplc="075A7214" w:tentative="1">
      <w:start w:val="1"/>
      <w:numFmt w:val="bullet"/>
      <w:lvlText w:val="•"/>
      <w:lvlJc w:val="left"/>
      <w:pPr>
        <w:tabs>
          <w:tab w:val="num" w:pos="3600"/>
        </w:tabs>
        <w:ind w:left="3600" w:hanging="360"/>
      </w:pPr>
      <w:rPr>
        <w:rFonts w:ascii="Arial" w:hAnsi="Arial" w:hint="default"/>
      </w:rPr>
    </w:lvl>
    <w:lvl w:ilvl="5" w:tplc="0B18E70A" w:tentative="1">
      <w:start w:val="1"/>
      <w:numFmt w:val="bullet"/>
      <w:lvlText w:val="•"/>
      <w:lvlJc w:val="left"/>
      <w:pPr>
        <w:tabs>
          <w:tab w:val="num" w:pos="4320"/>
        </w:tabs>
        <w:ind w:left="4320" w:hanging="360"/>
      </w:pPr>
      <w:rPr>
        <w:rFonts w:ascii="Arial" w:hAnsi="Arial" w:hint="default"/>
      </w:rPr>
    </w:lvl>
    <w:lvl w:ilvl="6" w:tplc="0DC0F9B4" w:tentative="1">
      <w:start w:val="1"/>
      <w:numFmt w:val="bullet"/>
      <w:lvlText w:val="•"/>
      <w:lvlJc w:val="left"/>
      <w:pPr>
        <w:tabs>
          <w:tab w:val="num" w:pos="5040"/>
        </w:tabs>
        <w:ind w:left="5040" w:hanging="360"/>
      </w:pPr>
      <w:rPr>
        <w:rFonts w:ascii="Arial" w:hAnsi="Arial" w:hint="default"/>
      </w:rPr>
    </w:lvl>
    <w:lvl w:ilvl="7" w:tplc="0FEA06CC" w:tentative="1">
      <w:start w:val="1"/>
      <w:numFmt w:val="bullet"/>
      <w:lvlText w:val="•"/>
      <w:lvlJc w:val="left"/>
      <w:pPr>
        <w:tabs>
          <w:tab w:val="num" w:pos="5760"/>
        </w:tabs>
        <w:ind w:left="5760" w:hanging="360"/>
      </w:pPr>
      <w:rPr>
        <w:rFonts w:ascii="Arial" w:hAnsi="Arial" w:hint="default"/>
      </w:rPr>
    </w:lvl>
    <w:lvl w:ilvl="8" w:tplc="FC2A88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F6583D"/>
    <w:multiLevelType w:val="hybridMultilevel"/>
    <w:tmpl w:val="AD3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811A2"/>
    <w:multiLevelType w:val="hybridMultilevel"/>
    <w:tmpl w:val="47E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79B7"/>
    <w:multiLevelType w:val="hybridMultilevel"/>
    <w:tmpl w:val="0FE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06"/>
    <w:rsid w:val="000740BD"/>
    <w:rsid w:val="00082670"/>
    <w:rsid w:val="000A2DE4"/>
    <w:rsid w:val="000C1906"/>
    <w:rsid w:val="00181CF7"/>
    <w:rsid w:val="001F7FB8"/>
    <w:rsid w:val="00230248"/>
    <w:rsid w:val="00271CBC"/>
    <w:rsid w:val="00351968"/>
    <w:rsid w:val="003904C4"/>
    <w:rsid w:val="003C4A79"/>
    <w:rsid w:val="003C516F"/>
    <w:rsid w:val="003E451A"/>
    <w:rsid w:val="004227B0"/>
    <w:rsid w:val="00471811"/>
    <w:rsid w:val="00485A50"/>
    <w:rsid w:val="0049068E"/>
    <w:rsid w:val="004A3340"/>
    <w:rsid w:val="004A79E2"/>
    <w:rsid w:val="006833D1"/>
    <w:rsid w:val="00710842"/>
    <w:rsid w:val="007B5C1E"/>
    <w:rsid w:val="00803D6C"/>
    <w:rsid w:val="00812B2E"/>
    <w:rsid w:val="0082660F"/>
    <w:rsid w:val="008425E5"/>
    <w:rsid w:val="0089432D"/>
    <w:rsid w:val="0097611F"/>
    <w:rsid w:val="009F0DD1"/>
    <w:rsid w:val="00A13422"/>
    <w:rsid w:val="00A22B62"/>
    <w:rsid w:val="00B06B78"/>
    <w:rsid w:val="00BB7559"/>
    <w:rsid w:val="00C664CF"/>
    <w:rsid w:val="00DB6967"/>
    <w:rsid w:val="00E26E7F"/>
    <w:rsid w:val="00EA2EE4"/>
    <w:rsid w:val="00F91863"/>
    <w:rsid w:val="00F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937E"/>
  <w15:chartTrackingRefBased/>
  <w15:docId w15:val="{BD2E77EA-F0F7-FF49-8B70-7EA60100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06"/>
    <w:pPr>
      <w:tabs>
        <w:tab w:val="center" w:pos="4680"/>
        <w:tab w:val="right" w:pos="9360"/>
      </w:tabs>
    </w:pPr>
  </w:style>
  <w:style w:type="character" w:customStyle="1" w:styleId="HeaderChar">
    <w:name w:val="Header Char"/>
    <w:basedOn w:val="DefaultParagraphFont"/>
    <w:link w:val="Header"/>
    <w:uiPriority w:val="99"/>
    <w:rsid w:val="000C1906"/>
  </w:style>
  <w:style w:type="paragraph" w:styleId="Footer">
    <w:name w:val="footer"/>
    <w:basedOn w:val="Normal"/>
    <w:link w:val="FooterChar"/>
    <w:uiPriority w:val="99"/>
    <w:unhideWhenUsed/>
    <w:rsid w:val="000C1906"/>
    <w:pPr>
      <w:tabs>
        <w:tab w:val="center" w:pos="4680"/>
        <w:tab w:val="right" w:pos="9360"/>
      </w:tabs>
    </w:pPr>
  </w:style>
  <w:style w:type="character" w:customStyle="1" w:styleId="FooterChar">
    <w:name w:val="Footer Char"/>
    <w:basedOn w:val="DefaultParagraphFont"/>
    <w:link w:val="Footer"/>
    <w:uiPriority w:val="99"/>
    <w:rsid w:val="000C1906"/>
  </w:style>
  <w:style w:type="paragraph" w:styleId="ListParagraph">
    <w:name w:val="List Paragraph"/>
    <w:basedOn w:val="Normal"/>
    <w:uiPriority w:val="34"/>
    <w:qFormat/>
    <w:rsid w:val="00F91863"/>
    <w:pPr>
      <w:ind w:left="720"/>
      <w:contextualSpacing/>
    </w:pPr>
  </w:style>
  <w:style w:type="paragraph" w:styleId="BalloonText">
    <w:name w:val="Balloon Text"/>
    <w:basedOn w:val="Normal"/>
    <w:link w:val="BalloonTextChar"/>
    <w:uiPriority w:val="99"/>
    <w:semiHidden/>
    <w:unhideWhenUsed/>
    <w:rsid w:val="000826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670"/>
    <w:rPr>
      <w:rFonts w:ascii="Times New Roman" w:hAnsi="Times New Roman" w:cs="Times New Roman"/>
      <w:sz w:val="18"/>
      <w:szCs w:val="18"/>
    </w:rPr>
  </w:style>
  <w:style w:type="character" w:styleId="PageNumber">
    <w:name w:val="page number"/>
    <w:basedOn w:val="DefaultParagraphFont"/>
    <w:uiPriority w:val="99"/>
    <w:semiHidden/>
    <w:unhideWhenUsed/>
    <w:rsid w:val="004A79E2"/>
  </w:style>
  <w:style w:type="character" w:styleId="Hyperlink">
    <w:name w:val="Hyperlink"/>
    <w:basedOn w:val="DefaultParagraphFont"/>
    <w:uiPriority w:val="99"/>
    <w:unhideWhenUsed/>
    <w:rsid w:val="006833D1"/>
    <w:rPr>
      <w:color w:val="0563C1" w:themeColor="hyperlink"/>
      <w:u w:val="single"/>
    </w:rPr>
  </w:style>
  <w:style w:type="character" w:styleId="UnresolvedMention">
    <w:name w:val="Unresolved Mention"/>
    <w:basedOn w:val="DefaultParagraphFont"/>
    <w:uiPriority w:val="99"/>
    <w:semiHidden/>
    <w:unhideWhenUsed/>
    <w:rsid w:val="0068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12977">
      <w:bodyDiv w:val="1"/>
      <w:marLeft w:val="0"/>
      <w:marRight w:val="0"/>
      <w:marTop w:val="0"/>
      <w:marBottom w:val="0"/>
      <w:divBdr>
        <w:top w:val="none" w:sz="0" w:space="0" w:color="auto"/>
        <w:left w:val="none" w:sz="0" w:space="0" w:color="auto"/>
        <w:bottom w:val="none" w:sz="0" w:space="0" w:color="auto"/>
        <w:right w:val="none" w:sz="0" w:space="0" w:color="auto"/>
      </w:divBdr>
    </w:div>
    <w:div w:id="685399837">
      <w:bodyDiv w:val="1"/>
      <w:marLeft w:val="0"/>
      <w:marRight w:val="0"/>
      <w:marTop w:val="0"/>
      <w:marBottom w:val="0"/>
      <w:divBdr>
        <w:top w:val="none" w:sz="0" w:space="0" w:color="auto"/>
        <w:left w:val="none" w:sz="0" w:space="0" w:color="auto"/>
        <w:bottom w:val="none" w:sz="0" w:space="0" w:color="auto"/>
        <w:right w:val="none" w:sz="0" w:space="0" w:color="auto"/>
      </w:divBdr>
    </w:div>
    <w:div w:id="893197353">
      <w:bodyDiv w:val="1"/>
      <w:marLeft w:val="0"/>
      <w:marRight w:val="0"/>
      <w:marTop w:val="0"/>
      <w:marBottom w:val="0"/>
      <w:divBdr>
        <w:top w:val="none" w:sz="0" w:space="0" w:color="auto"/>
        <w:left w:val="none" w:sz="0" w:space="0" w:color="auto"/>
        <w:bottom w:val="none" w:sz="0" w:space="0" w:color="auto"/>
        <w:right w:val="none" w:sz="0" w:space="0" w:color="auto"/>
      </w:divBdr>
    </w:div>
    <w:div w:id="966204181">
      <w:bodyDiv w:val="1"/>
      <w:marLeft w:val="0"/>
      <w:marRight w:val="0"/>
      <w:marTop w:val="0"/>
      <w:marBottom w:val="0"/>
      <w:divBdr>
        <w:top w:val="none" w:sz="0" w:space="0" w:color="auto"/>
        <w:left w:val="none" w:sz="0" w:space="0" w:color="auto"/>
        <w:bottom w:val="none" w:sz="0" w:space="0" w:color="auto"/>
        <w:right w:val="none" w:sz="0" w:space="0" w:color="auto"/>
      </w:divBdr>
      <w:divsChild>
        <w:div w:id="811555197">
          <w:marLeft w:val="360"/>
          <w:marRight w:val="0"/>
          <w:marTop w:val="20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
    <w:div w:id="12408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mail.google.com/mail/u/0/" TargetMode="External"/><Relationship Id="rId2" Type="http://schemas.openxmlformats.org/officeDocument/2006/relationships/hyperlink" Target="https://bit.ly/316YFyE" TargetMode="External"/><Relationship Id="rId1" Type="http://schemas.openxmlformats.org/officeDocument/2006/relationships/hyperlink" Target="https://bit.ly/2NoM2qx" TargetMode="External"/><Relationship Id="rId5" Type="http://schemas.openxmlformats.org/officeDocument/2006/relationships/hyperlink" Target="http://www.atixa.org" TargetMode="External"/><Relationship Id="rId4" Type="http://schemas.openxmlformats.org/officeDocument/2006/relationships/hyperlink" Target="https://mail.google.com/mail/u/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2020-07-01T15:27:00Z</dcterms:created>
  <dcterms:modified xsi:type="dcterms:W3CDTF">2020-07-01T15:27:00Z</dcterms:modified>
</cp:coreProperties>
</file>